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68990D" w14:textId="22BD4136" w:rsidR="003D3A08" w:rsidRPr="003D3A08" w:rsidRDefault="003A2AE6" w:rsidP="003D3A08">
      <w:pPr>
        <w:spacing w:after="0"/>
        <w:jc w:val="center"/>
        <w:rPr>
          <w:b/>
          <w:bCs/>
          <w:sz w:val="24"/>
          <w:szCs w:val="24"/>
        </w:rPr>
      </w:pPr>
      <w:r w:rsidRPr="003D3A08">
        <w:rPr>
          <w:b/>
          <w:bCs/>
          <w:sz w:val="24"/>
          <w:szCs w:val="24"/>
        </w:rPr>
        <w:t xml:space="preserve">CSTE Injury </w:t>
      </w:r>
      <w:r w:rsidR="003D3A08" w:rsidRPr="003D3A08">
        <w:rPr>
          <w:b/>
          <w:bCs/>
          <w:sz w:val="24"/>
          <w:szCs w:val="24"/>
        </w:rPr>
        <w:t>Surveillance Workgroup</w:t>
      </w:r>
    </w:p>
    <w:p w14:paraId="7ACE6ABD" w14:textId="7810203B" w:rsidR="003A2AE6" w:rsidRPr="003D3A08" w:rsidRDefault="003A2AE6" w:rsidP="003D3A08">
      <w:pPr>
        <w:spacing w:after="0"/>
        <w:jc w:val="center"/>
        <w:rPr>
          <w:b/>
          <w:bCs/>
          <w:sz w:val="24"/>
          <w:szCs w:val="24"/>
        </w:rPr>
      </w:pPr>
      <w:r w:rsidRPr="003D3A08">
        <w:rPr>
          <w:b/>
          <w:bCs/>
          <w:sz w:val="24"/>
          <w:szCs w:val="24"/>
        </w:rPr>
        <w:t xml:space="preserve">Syndromic Surveillance </w:t>
      </w:r>
      <w:r w:rsidR="003D3A08" w:rsidRPr="003D3A08">
        <w:rPr>
          <w:b/>
          <w:bCs/>
          <w:sz w:val="24"/>
          <w:szCs w:val="24"/>
        </w:rPr>
        <w:t>Guidance Document [working title]</w:t>
      </w:r>
    </w:p>
    <w:p w14:paraId="78E64AC2" w14:textId="77777777" w:rsidR="00AC4EB9" w:rsidRDefault="00AC4EB9"/>
    <w:p w14:paraId="76E57B73" w14:textId="3CEE9790" w:rsidR="009560A2" w:rsidRPr="00C16761" w:rsidRDefault="00213516" w:rsidP="00213516">
      <w:pPr>
        <w:rPr>
          <w:b/>
          <w:bCs/>
          <w:u w:val="single"/>
        </w:rPr>
      </w:pPr>
      <w:r w:rsidRPr="00C16761">
        <w:rPr>
          <w:b/>
          <w:bCs/>
          <w:u w:val="single"/>
        </w:rPr>
        <w:t>Start Here: Resources from CDC’s National Syndromic Surveillance Program (NSSP)</w:t>
      </w:r>
    </w:p>
    <w:p w14:paraId="0EF43FC8" w14:textId="0FFD6502" w:rsidR="00FA7B98" w:rsidRDefault="008D7612" w:rsidP="008D7612">
      <w:pPr>
        <w:pStyle w:val="ListParagraph"/>
        <w:numPr>
          <w:ilvl w:val="0"/>
          <w:numId w:val="2"/>
        </w:numPr>
      </w:pPr>
      <w:r>
        <w:t xml:space="preserve">Syndromic surveillance provides public health officials with a timely system for detecting, understanding, and monitoring health events. By tracking symptoms of patients in emergency departments—before a diagnosis is confirmed—public health can detect unusual levels of illness to determine whether a response is warranted. </w:t>
      </w:r>
    </w:p>
    <w:p w14:paraId="20F2A2F6" w14:textId="6F86E7FF" w:rsidR="008D7612" w:rsidRDefault="008D7612" w:rsidP="008D7612">
      <w:pPr>
        <w:pStyle w:val="ListParagraph"/>
        <w:numPr>
          <w:ilvl w:val="0"/>
          <w:numId w:val="2"/>
        </w:numPr>
      </w:pPr>
      <w:r>
        <w:t xml:space="preserve">Syndromic data can serve as an </w:t>
      </w:r>
      <w:r w:rsidR="0056780E">
        <w:t>early warning</w:t>
      </w:r>
      <w:r>
        <w:t xml:space="preserve"> system for public health concerns </w:t>
      </w:r>
      <w:r w:rsidR="7387F065">
        <w:t xml:space="preserve">(e.g., </w:t>
      </w:r>
      <w:r>
        <w:t xml:space="preserve"> </w:t>
      </w:r>
      <w:r w:rsidR="040CF910">
        <w:t>infectious disease</w:t>
      </w:r>
      <w:r>
        <w:t xml:space="preserve"> outbreaks</w:t>
      </w:r>
      <w:r w:rsidR="57D0ED0E">
        <w:t>)</w:t>
      </w:r>
      <w:r>
        <w:t xml:space="preserve"> and have been used in </w:t>
      </w:r>
      <w:r w:rsidR="258DE748">
        <w:t>other public health</w:t>
      </w:r>
      <w:r>
        <w:t xml:space="preserve"> responses</w:t>
      </w:r>
      <w:r w:rsidR="741896A9">
        <w:t>, including</w:t>
      </w:r>
      <w:r>
        <w:t xml:space="preserve"> </w:t>
      </w:r>
      <w:r w:rsidR="0056780E">
        <w:t xml:space="preserve">the opioid epidemic, e-cigarette or vaping associated </w:t>
      </w:r>
      <w:r w:rsidR="00510194">
        <w:t>lung injury</w:t>
      </w:r>
      <w:r w:rsidR="0056780E">
        <w:t xml:space="preserve"> (EVALI)</w:t>
      </w:r>
      <w:r>
        <w:t>,</w:t>
      </w:r>
      <w:r w:rsidR="00510194">
        <w:t xml:space="preserve"> Zika,</w:t>
      </w:r>
      <w:r>
        <w:t xml:space="preserve"> and </w:t>
      </w:r>
      <w:r w:rsidR="72A254E0">
        <w:t>environmental</w:t>
      </w:r>
      <w:r>
        <w:t xml:space="preserve"> disasters. </w:t>
      </w:r>
    </w:p>
    <w:p w14:paraId="7D776D5A" w14:textId="2F816FBC" w:rsidR="00FA7B98" w:rsidRDefault="00E37355" w:rsidP="00FA7B98">
      <w:pPr>
        <w:pStyle w:val="ListParagraph"/>
        <w:numPr>
          <w:ilvl w:val="0"/>
          <w:numId w:val="2"/>
        </w:numPr>
      </w:pPr>
      <w:r w:rsidRPr="00E37355">
        <w:t>Syndromic surveillance is a process that regularly and systematically uses health and health-related data in near “real-time” to make information available on the health of a community. This information includes statistics on disease trends and community health-seeking behaviors that support essential public health surveillance functions in governmental public health authorities</w:t>
      </w:r>
      <w:r w:rsidR="00510194">
        <w:t>.</w:t>
      </w:r>
    </w:p>
    <w:p w14:paraId="13A83972" w14:textId="0BCE01D6" w:rsidR="00B95B60" w:rsidRDefault="00B95B60" w:rsidP="00D21406">
      <w:pPr>
        <w:pStyle w:val="ListParagraph"/>
        <w:numPr>
          <w:ilvl w:val="0"/>
          <w:numId w:val="2"/>
        </w:numPr>
      </w:pPr>
      <w:r>
        <w:t>CDC</w:t>
      </w:r>
      <w:r w:rsidR="001C1C73">
        <w:t>’s</w:t>
      </w:r>
      <w:r>
        <w:t xml:space="preserve"> National </w:t>
      </w:r>
      <w:r w:rsidR="001C1C73">
        <w:t>Syndromic</w:t>
      </w:r>
      <w:r>
        <w:t xml:space="preserve"> Surveillance Program (NSSP) is a collaboration among CDC, federal partners, local and state health departments, and academic and private sector partners who collect, analyze, and share electronic patient encounter data received from emergency departments, urgent and ambulatory care centers, inpatient healthcare settings, and laboratories.</w:t>
      </w:r>
      <w:r w:rsidR="00D21406">
        <w:t xml:space="preserve"> </w:t>
      </w:r>
      <w:r>
        <w:t xml:space="preserve">The electronic health data are integrated through the BioSense Platform. </w:t>
      </w:r>
    </w:p>
    <w:p w14:paraId="7D90D751" w14:textId="3E2E3DDC" w:rsidR="00D21406" w:rsidRDefault="00D21406" w:rsidP="00D21406">
      <w:pPr>
        <w:pStyle w:val="ListParagraph"/>
        <w:numPr>
          <w:ilvl w:val="1"/>
          <w:numId w:val="2"/>
        </w:numPr>
      </w:pPr>
      <w:r>
        <w:t>NSSP Resources:</w:t>
      </w:r>
    </w:p>
    <w:p w14:paraId="7A943464" w14:textId="40E8919E" w:rsidR="2381B425" w:rsidRDefault="007B2793" w:rsidP="00D21406">
      <w:pPr>
        <w:pStyle w:val="ListParagraph"/>
        <w:numPr>
          <w:ilvl w:val="2"/>
          <w:numId w:val="2"/>
        </w:numPr>
        <w:rPr>
          <w:rFonts w:eastAsiaTheme="minorEastAsia"/>
          <w:color w:val="000000" w:themeColor="text1"/>
        </w:rPr>
      </w:pPr>
      <w:hyperlink r:id="rId10" w:history="1">
        <w:r w:rsidR="2381B425" w:rsidRPr="3A196E46">
          <w:rPr>
            <w:rStyle w:val="Hyperlink"/>
            <w:rFonts w:ascii="Calibri" w:eastAsia="Calibri" w:hAnsi="Calibri" w:cs="Calibri"/>
            <w:color w:val="0563C1"/>
          </w:rPr>
          <w:t>NSSP Fact Sheet</w:t>
        </w:r>
      </w:hyperlink>
      <w:r w:rsidR="2381B425" w:rsidRPr="3A196E46">
        <w:rPr>
          <w:rFonts w:ascii="Times New Roman" w:eastAsia="Times New Roman" w:hAnsi="Times New Roman" w:cs="Times New Roman"/>
          <w:color w:val="000000" w:themeColor="text1"/>
        </w:rPr>
        <w:t xml:space="preserve"> </w:t>
      </w:r>
    </w:p>
    <w:p w14:paraId="2177A357" w14:textId="4106E835" w:rsidR="2381B425" w:rsidRDefault="007B2793" w:rsidP="00D21406">
      <w:pPr>
        <w:pStyle w:val="ListParagraph"/>
        <w:numPr>
          <w:ilvl w:val="2"/>
          <w:numId w:val="2"/>
        </w:numPr>
        <w:spacing w:line="240" w:lineRule="auto"/>
        <w:rPr>
          <w:rFonts w:eastAsiaTheme="minorEastAsia"/>
          <w:color w:val="000000" w:themeColor="text1"/>
        </w:rPr>
      </w:pPr>
      <w:hyperlink r:id="rId11" w:history="1">
        <w:r w:rsidR="2381B425" w:rsidRPr="3A196E46">
          <w:rPr>
            <w:rStyle w:val="Hyperlink"/>
            <w:rFonts w:ascii="Calibri" w:eastAsia="Calibri" w:hAnsi="Calibri" w:cs="Calibri"/>
            <w:color w:val="0563C1"/>
          </w:rPr>
          <w:t>Technical Publications and Standards</w:t>
        </w:r>
      </w:hyperlink>
    </w:p>
    <w:p w14:paraId="7645E39A" w14:textId="50637B0B" w:rsidR="2381B425" w:rsidRDefault="007B2793" w:rsidP="00D21406">
      <w:pPr>
        <w:pStyle w:val="ListParagraph"/>
        <w:numPr>
          <w:ilvl w:val="2"/>
          <w:numId w:val="2"/>
        </w:numPr>
        <w:rPr>
          <w:rFonts w:eastAsiaTheme="minorEastAsia"/>
          <w:color w:val="000000" w:themeColor="text1"/>
        </w:rPr>
      </w:pPr>
      <w:hyperlink r:id="rId12" w:anchor="blocks" w:history="1">
        <w:r w:rsidR="2381B425" w:rsidRPr="3A196E46">
          <w:rPr>
            <w:rStyle w:val="Hyperlink"/>
            <w:rFonts w:ascii="Calibri" w:eastAsia="Calibri" w:hAnsi="Calibri" w:cs="Calibri"/>
            <w:color w:val="0563C1"/>
          </w:rPr>
          <w:t>NSSP Infographic</w:t>
        </w:r>
      </w:hyperlink>
    </w:p>
    <w:p w14:paraId="18DBDD0A" w14:textId="4237AB66" w:rsidR="2381B425" w:rsidRDefault="007B2793" w:rsidP="00D21406">
      <w:pPr>
        <w:pStyle w:val="ListParagraph"/>
        <w:numPr>
          <w:ilvl w:val="2"/>
          <w:numId w:val="2"/>
        </w:numPr>
        <w:rPr>
          <w:rFonts w:eastAsiaTheme="minorEastAsia"/>
          <w:color w:val="000000" w:themeColor="text1"/>
        </w:rPr>
      </w:pPr>
      <w:hyperlink r:id="rId13" w:history="1">
        <w:r w:rsidR="2381B425" w:rsidRPr="3A196E46">
          <w:rPr>
            <w:rStyle w:val="Hyperlink"/>
            <w:rFonts w:ascii="Calibri" w:eastAsia="Calibri" w:hAnsi="Calibri" w:cs="Calibri"/>
            <w:color w:val="0563C1"/>
          </w:rPr>
          <w:t>NSSP Overview Video</w:t>
        </w:r>
      </w:hyperlink>
    </w:p>
    <w:p w14:paraId="0CF67E8B" w14:textId="071C88BC" w:rsidR="00287C05" w:rsidRDefault="007B2793" w:rsidP="00D55B86">
      <w:pPr>
        <w:pStyle w:val="ListParagraph"/>
        <w:numPr>
          <w:ilvl w:val="2"/>
          <w:numId w:val="2"/>
        </w:numPr>
        <w:spacing w:after="0" w:line="240" w:lineRule="auto"/>
        <w:contextualSpacing w:val="0"/>
        <w:rPr>
          <w:rFonts w:eastAsia="Times New Roman"/>
        </w:rPr>
      </w:pPr>
      <w:hyperlink r:id="rId14" w:history="1">
        <w:r w:rsidR="00FF445C" w:rsidRPr="00FF445C">
          <w:rPr>
            <w:rStyle w:val="Hyperlink"/>
            <w:rFonts w:eastAsia="Times New Roman"/>
          </w:rPr>
          <w:t>“</w:t>
        </w:r>
        <w:r w:rsidR="6A6F3B69" w:rsidRPr="00FF445C">
          <w:rPr>
            <w:rStyle w:val="Hyperlink"/>
            <w:rFonts w:eastAsia="Times New Roman"/>
          </w:rPr>
          <w:t>New to Syndromic Surveillance</w:t>
        </w:r>
        <w:r w:rsidR="00FF445C" w:rsidRPr="00FF445C">
          <w:rPr>
            <w:rStyle w:val="Hyperlink"/>
            <w:rFonts w:eastAsia="Times New Roman"/>
          </w:rPr>
          <w:t>”</w:t>
        </w:r>
      </w:hyperlink>
      <w:r w:rsidR="6A6F3B69" w:rsidRPr="3A196E46">
        <w:rPr>
          <w:rFonts w:eastAsia="Times New Roman"/>
        </w:rPr>
        <w:t xml:space="preserve"> webpage</w:t>
      </w:r>
      <w:r w:rsidR="2C715291" w:rsidRPr="3A196E46">
        <w:rPr>
          <w:rFonts w:eastAsia="Times New Roman"/>
        </w:rPr>
        <w:t xml:space="preserve"> </w:t>
      </w:r>
    </w:p>
    <w:p w14:paraId="75D85441" w14:textId="51FECBEC" w:rsidR="008D44B7" w:rsidRDefault="0092038F" w:rsidP="008D7612">
      <w:pPr>
        <w:pStyle w:val="ListParagraph"/>
        <w:numPr>
          <w:ilvl w:val="0"/>
          <w:numId w:val="2"/>
        </w:numPr>
      </w:pPr>
      <w:hyperlink r:id="rId15">
        <w:r w:rsidR="3DAB6996" w:rsidRPr="713D31AE">
          <w:rPr>
            <w:rStyle w:val="Hyperlink"/>
            <w:highlight w:val="yellow"/>
          </w:rPr>
          <w:t>“Developing, Evaluating, and Disseminating Definitions for Syndromic Surveillance in Public Health Practice: a Guidance Document”</w:t>
        </w:r>
      </w:hyperlink>
      <w:r w:rsidR="060D1329" w:rsidRPr="713D31AE">
        <w:rPr>
          <w:highlight w:val="yellow"/>
        </w:rPr>
        <w:t xml:space="preserve"> </w:t>
      </w:r>
      <w:r w:rsidR="004A4435" w:rsidRPr="713D31AE">
        <w:rPr>
          <w:highlight w:val="yellow"/>
        </w:rPr>
        <w:t>–</w:t>
      </w:r>
      <w:r w:rsidR="060D1329">
        <w:t xml:space="preserve"> </w:t>
      </w:r>
      <w:r w:rsidR="004A4435">
        <w:t xml:space="preserve">this document </w:t>
      </w:r>
      <w:r w:rsidR="060D1329">
        <w:t>focuses on several key areas related to syndrome definition creation, including the basics behind a syndrome definition, steps to building a syndrome definition, evaluation of a new (or old) definition, and synd</w:t>
      </w:r>
      <w:r w:rsidR="73900817">
        <w:t>rome</w:t>
      </w:r>
      <w:r w:rsidR="6EC46E1D">
        <w:t xml:space="preserve"> definition </w:t>
      </w:r>
      <w:r w:rsidR="060D1329">
        <w:t>dissemination</w:t>
      </w:r>
      <w:r w:rsidR="709E6600">
        <w:t>.</w:t>
      </w:r>
    </w:p>
    <w:p w14:paraId="50C49EC7" w14:textId="10F596C2" w:rsidR="008D44B7" w:rsidRDefault="709E6600" w:rsidP="3A196E46">
      <w:pPr>
        <w:pStyle w:val="ListParagraph"/>
        <w:numPr>
          <w:ilvl w:val="1"/>
          <w:numId w:val="2"/>
        </w:numPr>
      </w:pPr>
      <w:r>
        <w:t>Product of the NSSP CoP Syndrome Definition Subcommittee</w:t>
      </w:r>
    </w:p>
    <w:p w14:paraId="3501A0D2" w14:textId="3A3F3A11" w:rsidR="008D44B7" w:rsidRDefault="709E6600" w:rsidP="3A196E46">
      <w:pPr>
        <w:pStyle w:val="ListParagraph"/>
        <w:numPr>
          <w:ilvl w:val="1"/>
          <w:numId w:val="2"/>
        </w:numPr>
      </w:pPr>
      <w:r>
        <w:t>Example of best practices</w:t>
      </w:r>
    </w:p>
    <w:p w14:paraId="6DD1B152" w14:textId="079F2B25" w:rsidR="008D44B7" w:rsidRDefault="709E6600" w:rsidP="3A196E46">
      <w:pPr>
        <w:pStyle w:val="ListParagraph"/>
        <w:numPr>
          <w:ilvl w:val="1"/>
          <w:numId w:val="2"/>
        </w:numPr>
      </w:pPr>
      <w:r>
        <w:t>References a suicide-related syndrome throughout the guidance document</w:t>
      </w:r>
    </w:p>
    <w:p w14:paraId="020D4187" w14:textId="50712ED2" w:rsidR="00F81CAD" w:rsidRPr="00F81CAD" w:rsidRDefault="3DAB6996" w:rsidP="00F81CAD">
      <w:pPr>
        <w:pStyle w:val="ListParagraph"/>
        <w:numPr>
          <w:ilvl w:val="1"/>
          <w:numId w:val="2"/>
        </w:numPr>
      </w:pPr>
      <w:r>
        <w:t xml:space="preserve"> </w:t>
      </w:r>
      <w:commentRangeStart w:id="0"/>
      <w:r w:rsidR="008D44B7">
        <w:t>B</w:t>
      </w:r>
      <w:r w:rsidR="008D44B7" w:rsidRPr="008D44B7">
        <w:t>asics of the query structure</w:t>
      </w:r>
      <w:commentRangeEnd w:id="0"/>
      <w:r w:rsidR="000158F0">
        <w:rPr>
          <w:rStyle w:val="CommentReference"/>
        </w:rPr>
        <w:commentReference w:id="0"/>
      </w:r>
    </w:p>
    <w:p w14:paraId="47A9DF1F" w14:textId="3C26BD02" w:rsidR="396DA34C" w:rsidRDefault="396DA34C" w:rsidP="42B06E2D">
      <w:pPr>
        <w:pStyle w:val="ListParagraph"/>
        <w:numPr>
          <w:ilvl w:val="1"/>
          <w:numId w:val="2"/>
        </w:numPr>
      </w:pPr>
      <w:r>
        <w:t xml:space="preserve">Query vs </w:t>
      </w:r>
      <w:r w:rsidR="002E7E84">
        <w:t>syndrome</w:t>
      </w:r>
      <w:r>
        <w:t xml:space="preserve"> terminology</w:t>
      </w:r>
    </w:p>
    <w:p w14:paraId="1AA5D4A3" w14:textId="6F1C2F04" w:rsidR="00201F16" w:rsidRDefault="57B1C57E" w:rsidP="3A196E46">
      <w:pPr>
        <w:pStyle w:val="ListParagraph"/>
        <w:numPr>
          <w:ilvl w:val="0"/>
          <w:numId w:val="2"/>
        </w:numPr>
        <w:spacing w:after="0" w:line="240" w:lineRule="auto"/>
        <w:contextualSpacing w:val="0"/>
      </w:pPr>
      <w:r w:rsidRPr="3A196E46">
        <w:rPr>
          <w:rFonts w:eastAsia="Times New Roman"/>
        </w:rPr>
        <w:t>Relevant Publications, Calls, and Resources</w:t>
      </w:r>
    </w:p>
    <w:p w14:paraId="4D667CA7" w14:textId="77777777" w:rsidR="009F2B5C" w:rsidRPr="009F2B5C" w:rsidRDefault="007B2793" w:rsidP="000062CB">
      <w:pPr>
        <w:pStyle w:val="ListParagraph"/>
        <w:numPr>
          <w:ilvl w:val="1"/>
          <w:numId w:val="2"/>
        </w:numPr>
        <w:spacing w:after="0" w:line="240" w:lineRule="auto"/>
        <w:contextualSpacing w:val="0"/>
        <w:rPr>
          <w:rStyle w:val="Hyperlink"/>
          <w:rFonts w:eastAsiaTheme="minorEastAsia"/>
          <w:color w:val="auto"/>
          <w:u w:val="none"/>
        </w:rPr>
      </w:pPr>
      <w:hyperlink r:id="rId20">
        <w:r w:rsidR="009F2B5C" w:rsidRPr="3A196E46">
          <w:rPr>
            <w:rStyle w:val="Hyperlink"/>
            <w:rFonts w:eastAsia="Times New Roman"/>
          </w:rPr>
          <w:t>Syndromic Surveillance of Suicidal Ideation and Self-Directed Violence — United States, January 2017–December 2018</w:t>
        </w:r>
      </w:hyperlink>
    </w:p>
    <w:p w14:paraId="6B0E1F74" w14:textId="25B72EB5" w:rsidR="004D5F3F" w:rsidRPr="004D5F3F" w:rsidRDefault="007B2793" w:rsidP="3A196E46">
      <w:pPr>
        <w:pStyle w:val="ListParagraph"/>
        <w:numPr>
          <w:ilvl w:val="1"/>
          <w:numId w:val="2"/>
        </w:numPr>
        <w:spacing w:after="0" w:line="240" w:lineRule="auto"/>
        <w:contextualSpacing w:val="0"/>
        <w:rPr>
          <w:rFonts w:eastAsiaTheme="minorEastAsia"/>
        </w:rPr>
      </w:pPr>
      <w:hyperlink r:id="rId21" w:history="1">
        <w:r w:rsidR="004D5F3F" w:rsidRPr="004D5F3F">
          <w:rPr>
            <w:rStyle w:val="Hyperlink"/>
            <w:rFonts w:eastAsia="Times New Roman"/>
          </w:rPr>
          <w:t>Syndromic Surveillance for E-Cigarette, or Vaping, Product Use–Associated Lung Injury</w:t>
        </w:r>
      </w:hyperlink>
    </w:p>
    <w:p w14:paraId="24EEA8AA" w14:textId="1C7FB9F8" w:rsidR="00201F16" w:rsidRDefault="57B1C57E" w:rsidP="3A196E46">
      <w:pPr>
        <w:pStyle w:val="ListParagraph"/>
        <w:numPr>
          <w:ilvl w:val="1"/>
          <w:numId w:val="2"/>
        </w:numPr>
        <w:spacing w:after="0" w:line="240" w:lineRule="auto"/>
        <w:contextualSpacing w:val="0"/>
        <w:rPr>
          <w:rFonts w:eastAsiaTheme="minorEastAsia"/>
        </w:rPr>
      </w:pPr>
      <w:r w:rsidRPr="3A196E46">
        <w:rPr>
          <w:rFonts w:eastAsia="Times New Roman"/>
        </w:rPr>
        <w:t xml:space="preserve">WA’s COVID-19-Like Illness (CLI) report highlighted in </w:t>
      </w:r>
      <w:hyperlink r:id="rId22" w:history="1">
        <w:r w:rsidRPr="00B34ECC">
          <w:rPr>
            <w:rStyle w:val="Hyperlink"/>
            <w:rFonts w:eastAsia="Times New Roman"/>
          </w:rPr>
          <w:t>this call recording</w:t>
        </w:r>
      </w:hyperlink>
    </w:p>
    <w:p w14:paraId="5B820A8D" w14:textId="0AF74F2E" w:rsidR="00201F16" w:rsidRDefault="007B2793" w:rsidP="3A196E46">
      <w:pPr>
        <w:pStyle w:val="ListParagraph"/>
        <w:numPr>
          <w:ilvl w:val="1"/>
          <w:numId w:val="2"/>
        </w:numPr>
        <w:spacing w:after="0" w:line="240" w:lineRule="auto"/>
        <w:contextualSpacing w:val="0"/>
      </w:pPr>
      <w:hyperlink r:id="rId23" w:history="1">
        <w:r w:rsidR="004D5F3F">
          <w:rPr>
            <w:rStyle w:val="Hyperlink"/>
            <w:rFonts w:eastAsia="Times New Roman"/>
          </w:rPr>
          <w:t>Window of Opportunity for New Disease Surveillance: Developing Keyword Lists for Monitoring Mental Health and Injury Through Syndromic Surveillance</w:t>
        </w:r>
      </w:hyperlink>
    </w:p>
    <w:p w14:paraId="1B64426B" w14:textId="264F8C05" w:rsidR="00201F16" w:rsidRPr="008B2A63" w:rsidRDefault="57B1C57E" w:rsidP="000062CB">
      <w:pPr>
        <w:pStyle w:val="ListParagraph"/>
        <w:numPr>
          <w:ilvl w:val="0"/>
          <w:numId w:val="2"/>
        </w:numPr>
        <w:spacing w:after="0" w:line="240" w:lineRule="auto"/>
        <w:contextualSpacing w:val="0"/>
        <w:rPr>
          <w:b/>
          <w:bCs/>
        </w:rPr>
      </w:pPr>
      <w:r w:rsidRPr="3A196E46">
        <w:rPr>
          <w:rFonts w:eastAsia="Times New Roman"/>
        </w:rPr>
        <w:t>NSSP</w:t>
      </w:r>
      <w:r w:rsidR="001D353E">
        <w:rPr>
          <w:rFonts w:eastAsia="Times New Roman"/>
        </w:rPr>
        <w:t>’s</w:t>
      </w:r>
      <w:r w:rsidRPr="3A196E46">
        <w:rPr>
          <w:rFonts w:eastAsia="Times New Roman"/>
        </w:rPr>
        <w:t xml:space="preserve"> </w:t>
      </w:r>
      <w:hyperlink r:id="rId24" w:history="1">
        <w:r w:rsidRPr="00AF133C">
          <w:rPr>
            <w:rStyle w:val="Hyperlink"/>
            <w:rFonts w:eastAsia="Times New Roman"/>
          </w:rPr>
          <w:t>Community of Practice</w:t>
        </w:r>
        <w:r w:rsidR="001D353E" w:rsidRPr="00AF133C">
          <w:rPr>
            <w:rStyle w:val="Hyperlink"/>
            <w:rFonts w:eastAsia="Times New Roman"/>
          </w:rPr>
          <w:t xml:space="preserve"> (CoP)</w:t>
        </w:r>
      </w:hyperlink>
      <w:r w:rsidR="2EA3B8CB" w:rsidRPr="3A196E46">
        <w:rPr>
          <w:rFonts w:eastAsia="Times New Roman"/>
        </w:rPr>
        <w:t xml:space="preserve"> </w:t>
      </w:r>
      <w:r w:rsidR="001D353E" w:rsidRPr="001D353E">
        <w:rPr>
          <w:rFonts w:eastAsia="Times New Roman"/>
        </w:rPr>
        <w:t>promotes knowledge sharing, training, innovation, and timely exchange of syndromic surveillance data among state and local public health agencies and partners.</w:t>
      </w:r>
      <w:r w:rsidR="001D353E">
        <w:rPr>
          <w:rFonts w:eastAsia="Times New Roman"/>
        </w:rPr>
        <w:t xml:space="preserve"> </w:t>
      </w:r>
      <w:r w:rsidR="008B2A63" w:rsidRPr="008B2A63">
        <w:rPr>
          <w:rFonts w:eastAsia="Times New Roman"/>
          <w:b/>
          <w:bCs/>
        </w:rPr>
        <w:t>Involvement in the NSSP CoP and its related groups is voluntary, free of charge, independent of CSTE membership, and open to any person or organization interested in advancing syndromic surveillance.</w:t>
      </w:r>
    </w:p>
    <w:p w14:paraId="0D18A793" w14:textId="11E73825" w:rsidR="00201F16" w:rsidRDefault="007B2793" w:rsidP="000062CB">
      <w:pPr>
        <w:pStyle w:val="ListParagraph"/>
        <w:numPr>
          <w:ilvl w:val="1"/>
          <w:numId w:val="2"/>
        </w:numPr>
        <w:spacing w:after="0" w:line="240" w:lineRule="auto"/>
        <w:contextualSpacing w:val="0"/>
      </w:pPr>
      <w:hyperlink r:id="rId25">
        <w:r w:rsidR="00201F16" w:rsidRPr="3A196E46">
          <w:rPr>
            <w:rStyle w:val="Hyperlink"/>
            <w:rFonts w:eastAsia="Times New Roman"/>
          </w:rPr>
          <w:t>NSSP CoP Knowledge Repository</w:t>
        </w:r>
      </w:hyperlink>
    </w:p>
    <w:p w14:paraId="05E1631C" w14:textId="77777777" w:rsidR="00201F16" w:rsidRDefault="00201F16" w:rsidP="000062CB">
      <w:pPr>
        <w:pStyle w:val="ListParagraph"/>
        <w:numPr>
          <w:ilvl w:val="2"/>
          <w:numId w:val="2"/>
        </w:numPr>
        <w:spacing w:after="0" w:line="240" w:lineRule="auto"/>
        <w:contextualSpacing w:val="0"/>
        <w:rPr>
          <w:rFonts w:eastAsia="Times New Roman"/>
        </w:rPr>
      </w:pPr>
      <w:r w:rsidRPr="3A196E46">
        <w:rPr>
          <w:rFonts w:eastAsia="Times New Roman"/>
        </w:rPr>
        <w:t xml:space="preserve">Check out the </w:t>
      </w:r>
      <w:hyperlink r:id="rId26">
        <w:r w:rsidRPr="3A196E46">
          <w:rPr>
            <w:rStyle w:val="Hyperlink"/>
            <w:rFonts w:eastAsia="Times New Roman"/>
          </w:rPr>
          <w:t>Syndrome Library</w:t>
        </w:r>
      </w:hyperlink>
      <w:r w:rsidRPr="3A196E46">
        <w:rPr>
          <w:rFonts w:eastAsia="Times New Roman"/>
        </w:rPr>
        <w:t xml:space="preserve"> by clicking ‘Syndromes’</w:t>
      </w:r>
    </w:p>
    <w:p w14:paraId="62DCC834" w14:textId="1723D3BA" w:rsidR="4581A16A" w:rsidRDefault="4581A16A" w:rsidP="000062CB">
      <w:pPr>
        <w:pStyle w:val="ListParagraph"/>
        <w:numPr>
          <w:ilvl w:val="1"/>
          <w:numId w:val="2"/>
        </w:numPr>
        <w:spacing w:after="0" w:line="240" w:lineRule="auto"/>
        <w:rPr>
          <w:rFonts w:eastAsiaTheme="minorEastAsia"/>
        </w:rPr>
      </w:pPr>
      <w:r w:rsidRPr="3A196E46">
        <w:rPr>
          <w:rFonts w:eastAsia="Times New Roman"/>
        </w:rPr>
        <w:t xml:space="preserve">Join the NSSP CoP or SyS Slack by emailing </w:t>
      </w:r>
      <w:hyperlink r:id="rId27" w:history="1">
        <w:r w:rsidRPr="3A196E46">
          <w:rPr>
            <w:rFonts w:eastAsia="Times New Roman"/>
          </w:rPr>
          <w:t>syndromic@cste.org</w:t>
        </w:r>
      </w:hyperlink>
      <w:r w:rsidR="000062CB">
        <w:t xml:space="preserve"> </w:t>
      </w:r>
    </w:p>
    <w:p w14:paraId="0D0AA71C" w14:textId="77777777" w:rsidR="00287C05" w:rsidRDefault="00287C05" w:rsidP="00201F16">
      <w:pPr>
        <w:pStyle w:val="ListParagraph"/>
      </w:pPr>
    </w:p>
    <w:sectPr w:rsidR="00287C05">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Mia Israel" w:date="2020-05-18T09:34:00Z" w:initials="MI">
    <w:p w14:paraId="33F3CB26" w14:textId="48648091" w:rsidR="000158F0" w:rsidRDefault="000158F0">
      <w:pPr>
        <w:pStyle w:val="CommentText"/>
      </w:pPr>
      <w:r>
        <w:rPr>
          <w:rStyle w:val="CommentReference"/>
        </w:rPr>
        <w:annotationRef/>
      </w:r>
      <w:r>
        <w:t>This is captured in pages 4-6 and page 13 i</w:t>
      </w:r>
      <w:r w:rsidR="00532338">
        <w:t>n guidance doc above, but a graphic/image that takes a query and breaks it down would be helpful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3F3CB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CD509" w16cex:dateUtc="2020-05-18T13: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3F3CB26" w16cid:durableId="226CD5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1CC1B" w14:textId="77777777" w:rsidR="007B2793" w:rsidRDefault="007B2793" w:rsidP="00310C06">
      <w:pPr>
        <w:spacing w:after="0" w:line="240" w:lineRule="auto"/>
      </w:pPr>
      <w:r>
        <w:separator/>
      </w:r>
    </w:p>
  </w:endnote>
  <w:endnote w:type="continuationSeparator" w:id="0">
    <w:p w14:paraId="21CA386B" w14:textId="77777777" w:rsidR="007B2793" w:rsidRDefault="007B2793" w:rsidP="00310C06">
      <w:pPr>
        <w:spacing w:after="0" w:line="240" w:lineRule="auto"/>
      </w:pPr>
      <w:r>
        <w:continuationSeparator/>
      </w:r>
    </w:p>
  </w:endnote>
  <w:endnote w:type="continuationNotice" w:id="1">
    <w:p w14:paraId="5856150A" w14:textId="77777777" w:rsidR="007B2793" w:rsidRDefault="007B27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87258" w14:textId="77777777" w:rsidR="00EE68AD" w:rsidRDefault="00EE68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70995" w14:textId="77777777" w:rsidR="00EE68AD" w:rsidRDefault="00EE68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BD944" w14:textId="77777777" w:rsidR="00EE68AD" w:rsidRDefault="00EE68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C28CD" w14:textId="77777777" w:rsidR="007B2793" w:rsidRDefault="007B2793" w:rsidP="00310C06">
      <w:pPr>
        <w:spacing w:after="0" w:line="240" w:lineRule="auto"/>
      </w:pPr>
      <w:r>
        <w:separator/>
      </w:r>
    </w:p>
  </w:footnote>
  <w:footnote w:type="continuationSeparator" w:id="0">
    <w:p w14:paraId="75F9B1BB" w14:textId="77777777" w:rsidR="007B2793" w:rsidRDefault="007B2793" w:rsidP="00310C06">
      <w:pPr>
        <w:spacing w:after="0" w:line="240" w:lineRule="auto"/>
      </w:pPr>
      <w:r>
        <w:continuationSeparator/>
      </w:r>
    </w:p>
  </w:footnote>
  <w:footnote w:type="continuationNotice" w:id="1">
    <w:p w14:paraId="14DE96C3" w14:textId="77777777" w:rsidR="007B2793" w:rsidRDefault="007B27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7F633" w14:textId="77777777" w:rsidR="00EE68AD" w:rsidRDefault="00EE68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D6825" w14:textId="2BD5D023" w:rsidR="00310C06" w:rsidRDefault="007B2793">
    <w:pPr>
      <w:pStyle w:val="Header"/>
    </w:pPr>
    <w:sdt>
      <w:sdtPr>
        <w:id w:val="860706636"/>
        <w:docPartObj>
          <w:docPartGallery w:val="Watermarks"/>
          <w:docPartUnique/>
        </w:docPartObj>
      </w:sdtPr>
      <w:sdtContent>
        <w:r>
          <w:rPr>
            <w:noProof/>
          </w:rPr>
          <w:pict w14:anchorId="09AAD3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10C06">
      <w:rPr>
        <w:noProof/>
      </w:rPr>
      <w:drawing>
        <wp:anchor distT="0" distB="0" distL="114300" distR="114300" simplePos="0" relativeHeight="251658240" behindDoc="1" locked="0" layoutInCell="1" allowOverlap="1" wp14:anchorId="1321E51A" wp14:editId="7005540F">
          <wp:simplePos x="0" y="0"/>
          <wp:positionH relativeFrom="page">
            <wp:align>left</wp:align>
          </wp:positionH>
          <wp:positionV relativeFrom="paragraph">
            <wp:posOffset>-432435</wp:posOffset>
          </wp:positionV>
          <wp:extent cx="7767320" cy="1266190"/>
          <wp:effectExtent l="0" t="0" r="5080" b="0"/>
          <wp:wrapTight wrapText="bothSides">
            <wp:wrapPolygon edited="0">
              <wp:start x="0" y="0"/>
              <wp:lineTo x="0" y="21123"/>
              <wp:lineTo x="21561" y="21123"/>
              <wp:lineTo x="21561" y="0"/>
              <wp:lineTo x="0" y="0"/>
            </wp:wrapPolygon>
          </wp:wrapTight>
          <wp:docPr id="1" name="Picture 1"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ail-Header---Injury Epidemiology and Surveillance.png"/>
                  <pic:cNvPicPr/>
                </pic:nvPicPr>
                <pic:blipFill>
                  <a:blip r:embed="rId1">
                    <a:extLst>
                      <a:ext uri="{28A0092B-C50C-407E-A947-70E740481C1C}">
                        <a14:useLocalDpi xmlns:a14="http://schemas.microsoft.com/office/drawing/2010/main" val="0"/>
                      </a:ext>
                    </a:extLst>
                  </a:blip>
                  <a:stretch>
                    <a:fillRect/>
                  </a:stretch>
                </pic:blipFill>
                <pic:spPr>
                  <a:xfrm>
                    <a:off x="0" y="0"/>
                    <a:ext cx="7820763" cy="127505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7521B" w14:textId="77777777" w:rsidR="00EE68AD" w:rsidRDefault="00EE6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160746"/>
    <w:multiLevelType w:val="hybridMultilevel"/>
    <w:tmpl w:val="8B187A3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2519D6"/>
    <w:multiLevelType w:val="hybridMultilevel"/>
    <w:tmpl w:val="D71859E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2CBB4E6D"/>
    <w:multiLevelType w:val="hybridMultilevel"/>
    <w:tmpl w:val="1D4C4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22E132D"/>
    <w:multiLevelType w:val="hybridMultilevel"/>
    <w:tmpl w:val="78840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D5323A6"/>
    <w:multiLevelType w:val="hybridMultilevel"/>
    <w:tmpl w:val="9796EC6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59E32B83"/>
    <w:multiLevelType w:val="hybridMultilevel"/>
    <w:tmpl w:val="E1ECD65A"/>
    <w:lvl w:ilvl="0" w:tplc="ED989684">
      <w:start w:val="1"/>
      <w:numFmt w:val="bullet"/>
      <w:lvlText w:val=""/>
      <w:lvlJc w:val="left"/>
      <w:pPr>
        <w:ind w:left="720" w:hanging="360"/>
      </w:pPr>
      <w:rPr>
        <w:rFonts w:ascii="Symbol" w:hAnsi="Symbol" w:hint="default"/>
      </w:rPr>
    </w:lvl>
    <w:lvl w:ilvl="1" w:tplc="B03A2A34">
      <w:start w:val="1"/>
      <w:numFmt w:val="bullet"/>
      <w:lvlText w:val="o"/>
      <w:lvlJc w:val="left"/>
      <w:pPr>
        <w:ind w:left="1440" w:hanging="360"/>
      </w:pPr>
      <w:rPr>
        <w:rFonts w:ascii="Courier New" w:hAnsi="Courier New" w:hint="default"/>
      </w:rPr>
    </w:lvl>
    <w:lvl w:ilvl="2" w:tplc="6D0C07E6">
      <w:start w:val="1"/>
      <w:numFmt w:val="bullet"/>
      <w:lvlText w:val=""/>
      <w:lvlJc w:val="left"/>
      <w:pPr>
        <w:ind w:left="2160" w:hanging="360"/>
      </w:pPr>
      <w:rPr>
        <w:rFonts w:ascii="Wingdings" w:hAnsi="Wingdings" w:hint="default"/>
      </w:rPr>
    </w:lvl>
    <w:lvl w:ilvl="3" w:tplc="7CFC366C">
      <w:start w:val="1"/>
      <w:numFmt w:val="bullet"/>
      <w:lvlText w:val=""/>
      <w:lvlJc w:val="left"/>
      <w:pPr>
        <w:ind w:left="2880" w:hanging="360"/>
      </w:pPr>
      <w:rPr>
        <w:rFonts w:ascii="Symbol" w:hAnsi="Symbol" w:hint="default"/>
      </w:rPr>
    </w:lvl>
    <w:lvl w:ilvl="4" w:tplc="26ACF518">
      <w:start w:val="1"/>
      <w:numFmt w:val="bullet"/>
      <w:lvlText w:val="o"/>
      <w:lvlJc w:val="left"/>
      <w:pPr>
        <w:ind w:left="3600" w:hanging="360"/>
      </w:pPr>
      <w:rPr>
        <w:rFonts w:ascii="Courier New" w:hAnsi="Courier New" w:hint="default"/>
      </w:rPr>
    </w:lvl>
    <w:lvl w:ilvl="5" w:tplc="2E2A489E">
      <w:start w:val="1"/>
      <w:numFmt w:val="bullet"/>
      <w:lvlText w:val=""/>
      <w:lvlJc w:val="left"/>
      <w:pPr>
        <w:ind w:left="4320" w:hanging="360"/>
      </w:pPr>
      <w:rPr>
        <w:rFonts w:ascii="Wingdings" w:hAnsi="Wingdings" w:hint="default"/>
      </w:rPr>
    </w:lvl>
    <w:lvl w:ilvl="6" w:tplc="604EEB5E">
      <w:start w:val="1"/>
      <w:numFmt w:val="bullet"/>
      <w:lvlText w:val=""/>
      <w:lvlJc w:val="left"/>
      <w:pPr>
        <w:ind w:left="5040" w:hanging="360"/>
      </w:pPr>
      <w:rPr>
        <w:rFonts w:ascii="Symbol" w:hAnsi="Symbol" w:hint="default"/>
      </w:rPr>
    </w:lvl>
    <w:lvl w:ilvl="7" w:tplc="0972DA76">
      <w:start w:val="1"/>
      <w:numFmt w:val="bullet"/>
      <w:lvlText w:val="o"/>
      <w:lvlJc w:val="left"/>
      <w:pPr>
        <w:ind w:left="5760" w:hanging="360"/>
      </w:pPr>
      <w:rPr>
        <w:rFonts w:ascii="Courier New" w:hAnsi="Courier New" w:hint="default"/>
      </w:rPr>
    </w:lvl>
    <w:lvl w:ilvl="8" w:tplc="89F2B09A">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ia Israel">
    <w15:presenceInfo w15:providerId="AD" w15:userId="S::misrael@cste.org::29de551f-7549-45d1-966e-7b279ceb12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77D"/>
    <w:rsid w:val="000062CB"/>
    <w:rsid w:val="000158F0"/>
    <w:rsid w:val="0002575B"/>
    <w:rsid w:val="000373D0"/>
    <w:rsid w:val="0005637F"/>
    <w:rsid w:val="00056B64"/>
    <w:rsid w:val="000A09A4"/>
    <w:rsid w:val="000C52F1"/>
    <w:rsid w:val="000D517D"/>
    <w:rsid w:val="000E2F69"/>
    <w:rsid w:val="00162E22"/>
    <w:rsid w:val="001C1C73"/>
    <w:rsid w:val="001C4530"/>
    <w:rsid w:val="001D353E"/>
    <w:rsid w:val="00201F16"/>
    <w:rsid w:val="00213516"/>
    <w:rsid w:val="00237AA7"/>
    <w:rsid w:val="00247D02"/>
    <w:rsid w:val="002754D8"/>
    <w:rsid w:val="00287C05"/>
    <w:rsid w:val="002E39FF"/>
    <w:rsid w:val="002E7E84"/>
    <w:rsid w:val="002F09BD"/>
    <w:rsid w:val="003063E6"/>
    <w:rsid w:val="00310C06"/>
    <w:rsid w:val="003225BB"/>
    <w:rsid w:val="00327584"/>
    <w:rsid w:val="00376AD9"/>
    <w:rsid w:val="00386D74"/>
    <w:rsid w:val="003A2AE6"/>
    <w:rsid w:val="003D0334"/>
    <w:rsid w:val="003D3A08"/>
    <w:rsid w:val="0040477D"/>
    <w:rsid w:val="00473D13"/>
    <w:rsid w:val="00496509"/>
    <w:rsid w:val="004A1A52"/>
    <w:rsid w:val="004A4435"/>
    <w:rsid w:val="004C7FDC"/>
    <w:rsid w:val="004D4659"/>
    <w:rsid w:val="004D5F3F"/>
    <w:rsid w:val="00510194"/>
    <w:rsid w:val="0052641F"/>
    <w:rsid w:val="00532338"/>
    <w:rsid w:val="005461D6"/>
    <w:rsid w:val="00564297"/>
    <w:rsid w:val="0056780E"/>
    <w:rsid w:val="005769B3"/>
    <w:rsid w:val="00577A4B"/>
    <w:rsid w:val="005877F5"/>
    <w:rsid w:val="0059251F"/>
    <w:rsid w:val="0061664C"/>
    <w:rsid w:val="00626E3E"/>
    <w:rsid w:val="006D4E56"/>
    <w:rsid w:val="006D6E68"/>
    <w:rsid w:val="006E1302"/>
    <w:rsid w:val="00773D05"/>
    <w:rsid w:val="007A249F"/>
    <w:rsid w:val="007B2793"/>
    <w:rsid w:val="007D36E1"/>
    <w:rsid w:val="007E2F4A"/>
    <w:rsid w:val="00810CAD"/>
    <w:rsid w:val="0083229E"/>
    <w:rsid w:val="00847667"/>
    <w:rsid w:val="00861DB9"/>
    <w:rsid w:val="0087470F"/>
    <w:rsid w:val="008939AB"/>
    <w:rsid w:val="0089781B"/>
    <w:rsid w:val="008B1C06"/>
    <w:rsid w:val="008B2A63"/>
    <w:rsid w:val="008D44B7"/>
    <w:rsid w:val="008D7612"/>
    <w:rsid w:val="0092038F"/>
    <w:rsid w:val="00922CB8"/>
    <w:rsid w:val="00925C3D"/>
    <w:rsid w:val="00935662"/>
    <w:rsid w:val="0094727C"/>
    <w:rsid w:val="009560A2"/>
    <w:rsid w:val="00960A2C"/>
    <w:rsid w:val="00963B00"/>
    <w:rsid w:val="009D7BBD"/>
    <w:rsid w:val="009F2B5C"/>
    <w:rsid w:val="009F43E8"/>
    <w:rsid w:val="00A31A1C"/>
    <w:rsid w:val="00A54DEF"/>
    <w:rsid w:val="00A74BF5"/>
    <w:rsid w:val="00AB6E9B"/>
    <w:rsid w:val="00AC4EB9"/>
    <w:rsid w:val="00AD74ED"/>
    <w:rsid w:val="00AE3939"/>
    <w:rsid w:val="00AF133C"/>
    <w:rsid w:val="00B07CB2"/>
    <w:rsid w:val="00B34ECC"/>
    <w:rsid w:val="00B528B9"/>
    <w:rsid w:val="00B6135C"/>
    <w:rsid w:val="00B95B60"/>
    <w:rsid w:val="00BA6E82"/>
    <w:rsid w:val="00BB086A"/>
    <w:rsid w:val="00BD1856"/>
    <w:rsid w:val="00BF64F8"/>
    <w:rsid w:val="00C16761"/>
    <w:rsid w:val="00C869FB"/>
    <w:rsid w:val="00CB0611"/>
    <w:rsid w:val="00CE1921"/>
    <w:rsid w:val="00CE6B2F"/>
    <w:rsid w:val="00CF3EAB"/>
    <w:rsid w:val="00CF6030"/>
    <w:rsid w:val="00D013DF"/>
    <w:rsid w:val="00D1559F"/>
    <w:rsid w:val="00D21406"/>
    <w:rsid w:val="00D37021"/>
    <w:rsid w:val="00D55B86"/>
    <w:rsid w:val="00D934F1"/>
    <w:rsid w:val="00DA66F1"/>
    <w:rsid w:val="00DD6E8E"/>
    <w:rsid w:val="00E011D9"/>
    <w:rsid w:val="00E37355"/>
    <w:rsid w:val="00E66E68"/>
    <w:rsid w:val="00E90D51"/>
    <w:rsid w:val="00EE129A"/>
    <w:rsid w:val="00EE68AD"/>
    <w:rsid w:val="00F01209"/>
    <w:rsid w:val="00F04961"/>
    <w:rsid w:val="00F81CAD"/>
    <w:rsid w:val="00F8657C"/>
    <w:rsid w:val="00FA7B98"/>
    <w:rsid w:val="00FF445C"/>
    <w:rsid w:val="030EAF3B"/>
    <w:rsid w:val="040CF910"/>
    <w:rsid w:val="060D1329"/>
    <w:rsid w:val="06A26216"/>
    <w:rsid w:val="0BC4AA32"/>
    <w:rsid w:val="0BDBE3B3"/>
    <w:rsid w:val="0C3D13BF"/>
    <w:rsid w:val="0F6EF858"/>
    <w:rsid w:val="15B68799"/>
    <w:rsid w:val="17C6E4B7"/>
    <w:rsid w:val="192028FC"/>
    <w:rsid w:val="197BD8B6"/>
    <w:rsid w:val="1B81539C"/>
    <w:rsid w:val="1CBCD765"/>
    <w:rsid w:val="1FADEAB6"/>
    <w:rsid w:val="1FF4BC3F"/>
    <w:rsid w:val="202B39B8"/>
    <w:rsid w:val="2381B425"/>
    <w:rsid w:val="258DE748"/>
    <w:rsid w:val="2BE463E4"/>
    <w:rsid w:val="2C715291"/>
    <w:rsid w:val="2C9D805C"/>
    <w:rsid w:val="2EA3B8CB"/>
    <w:rsid w:val="3184B481"/>
    <w:rsid w:val="3211B84E"/>
    <w:rsid w:val="34A8606B"/>
    <w:rsid w:val="38F08AF4"/>
    <w:rsid w:val="396DA34C"/>
    <w:rsid w:val="3A196E46"/>
    <w:rsid w:val="3A1E512E"/>
    <w:rsid w:val="3BFE917F"/>
    <w:rsid w:val="3DAB6996"/>
    <w:rsid w:val="3E47100F"/>
    <w:rsid w:val="42B06E2D"/>
    <w:rsid w:val="4581A16A"/>
    <w:rsid w:val="45B181DB"/>
    <w:rsid w:val="496D7DB1"/>
    <w:rsid w:val="4E143100"/>
    <w:rsid w:val="503823A8"/>
    <w:rsid w:val="54134BFF"/>
    <w:rsid w:val="57B1C57E"/>
    <w:rsid w:val="57D0ED0E"/>
    <w:rsid w:val="65D8593A"/>
    <w:rsid w:val="65F1536F"/>
    <w:rsid w:val="6798288E"/>
    <w:rsid w:val="6A6F3B69"/>
    <w:rsid w:val="6B5927C6"/>
    <w:rsid w:val="6BA18F36"/>
    <w:rsid w:val="6EC46E1D"/>
    <w:rsid w:val="6F349147"/>
    <w:rsid w:val="70078B32"/>
    <w:rsid w:val="709E6600"/>
    <w:rsid w:val="713D31AE"/>
    <w:rsid w:val="72A254E0"/>
    <w:rsid w:val="73469A00"/>
    <w:rsid w:val="7387F065"/>
    <w:rsid w:val="73900817"/>
    <w:rsid w:val="741896A9"/>
    <w:rsid w:val="7649ADB9"/>
    <w:rsid w:val="7713D996"/>
    <w:rsid w:val="7CE2BB39"/>
    <w:rsid w:val="7F822A60"/>
    <w:rsid w:val="7FCA1B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900CA4B"/>
  <w15:chartTrackingRefBased/>
  <w15:docId w15:val="{C982B4AB-CE65-4E51-9C08-9865491E4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C06"/>
  </w:style>
  <w:style w:type="paragraph" w:styleId="Footer">
    <w:name w:val="footer"/>
    <w:basedOn w:val="Normal"/>
    <w:link w:val="FooterChar"/>
    <w:uiPriority w:val="99"/>
    <w:unhideWhenUsed/>
    <w:rsid w:val="00310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C06"/>
  </w:style>
  <w:style w:type="paragraph" w:styleId="BalloonText">
    <w:name w:val="Balloon Text"/>
    <w:basedOn w:val="Normal"/>
    <w:link w:val="BalloonTextChar"/>
    <w:uiPriority w:val="99"/>
    <w:semiHidden/>
    <w:unhideWhenUsed/>
    <w:rsid w:val="005264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641F"/>
    <w:rPr>
      <w:rFonts w:ascii="Segoe UI" w:hAnsi="Segoe UI" w:cs="Segoe UI"/>
      <w:sz w:val="18"/>
      <w:szCs w:val="18"/>
    </w:rPr>
  </w:style>
  <w:style w:type="paragraph" w:styleId="ListParagraph">
    <w:name w:val="List Paragraph"/>
    <w:basedOn w:val="Normal"/>
    <w:uiPriority w:val="34"/>
    <w:qFormat/>
    <w:rsid w:val="0052641F"/>
    <w:pPr>
      <w:ind w:left="720"/>
      <w:contextualSpacing/>
    </w:pPr>
  </w:style>
  <w:style w:type="table" w:styleId="TableGrid">
    <w:name w:val="Table Grid"/>
    <w:basedOn w:val="TableNormal"/>
    <w:uiPriority w:val="39"/>
    <w:rsid w:val="00F86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0257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237AA7"/>
    <w:rPr>
      <w:color w:val="0563C1" w:themeColor="hyperlink"/>
      <w:u w:val="single"/>
    </w:rPr>
  </w:style>
  <w:style w:type="character" w:styleId="UnresolvedMention">
    <w:name w:val="Unresolved Mention"/>
    <w:basedOn w:val="DefaultParagraphFont"/>
    <w:uiPriority w:val="99"/>
    <w:semiHidden/>
    <w:unhideWhenUsed/>
    <w:rsid w:val="00237AA7"/>
    <w:rPr>
      <w:color w:val="605E5C"/>
      <w:shd w:val="clear" w:color="auto" w:fill="E1DFDD"/>
    </w:rPr>
  </w:style>
  <w:style w:type="character" w:styleId="CommentReference">
    <w:name w:val="annotation reference"/>
    <w:basedOn w:val="DefaultParagraphFont"/>
    <w:uiPriority w:val="99"/>
    <w:semiHidden/>
    <w:unhideWhenUsed/>
    <w:rsid w:val="00CE1921"/>
    <w:rPr>
      <w:sz w:val="16"/>
      <w:szCs w:val="16"/>
    </w:rPr>
  </w:style>
  <w:style w:type="paragraph" w:styleId="CommentText">
    <w:name w:val="annotation text"/>
    <w:basedOn w:val="Normal"/>
    <w:link w:val="CommentTextChar"/>
    <w:uiPriority w:val="99"/>
    <w:semiHidden/>
    <w:unhideWhenUsed/>
    <w:rsid w:val="00CE1921"/>
    <w:pPr>
      <w:spacing w:line="240" w:lineRule="auto"/>
    </w:pPr>
    <w:rPr>
      <w:sz w:val="20"/>
      <w:szCs w:val="20"/>
    </w:rPr>
  </w:style>
  <w:style w:type="character" w:customStyle="1" w:styleId="CommentTextChar">
    <w:name w:val="Comment Text Char"/>
    <w:basedOn w:val="DefaultParagraphFont"/>
    <w:link w:val="CommentText"/>
    <w:uiPriority w:val="99"/>
    <w:semiHidden/>
    <w:rsid w:val="00CE1921"/>
    <w:rPr>
      <w:sz w:val="20"/>
      <w:szCs w:val="20"/>
    </w:rPr>
  </w:style>
  <w:style w:type="paragraph" w:styleId="CommentSubject">
    <w:name w:val="annotation subject"/>
    <w:basedOn w:val="CommentText"/>
    <w:next w:val="CommentText"/>
    <w:link w:val="CommentSubjectChar"/>
    <w:uiPriority w:val="99"/>
    <w:semiHidden/>
    <w:unhideWhenUsed/>
    <w:rsid w:val="00CE1921"/>
    <w:rPr>
      <w:b/>
      <w:bCs/>
    </w:rPr>
  </w:style>
  <w:style w:type="character" w:customStyle="1" w:styleId="CommentSubjectChar">
    <w:name w:val="Comment Subject Char"/>
    <w:basedOn w:val="CommentTextChar"/>
    <w:link w:val="CommentSubject"/>
    <w:uiPriority w:val="99"/>
    <w:semiHidden/>
    <w:rsid w:val="00CE1921"/>
    <w:rPr>
      <w:b/>
      <w:bCs/>
      <w:sz w:val="20"/>
      <w:szCs w:val="20"/>
    </w:rPr>
  </w:style>
  <w:style w:type="character" w:styleId="FollowedHyperlink">
    <w:name w:val="FollowedHyperlink"/>
    <w:basedOn w:val="DefaultParagraphFont"/>
    <w:uiPriority w:val="99"/>
    <w:semiHidden/>
    <w:unhideWhenUsed/>
    <w:rsid w:val="00201F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9859176">
      <w:bodyDiv w:val="1"/>
      <w:marLeft w:val="0"/>
      <w:marRight w:val="0"/>
      <w:marTop w:val="0"/>
      <w:marBottom w:val="0"/>
      <w:divBdr>
        <w:top w:val="none" w:sz="0" w:space="0" w:color="auto"/>
        <w:left w:val="none" w:sz="0" w:space="0" w:color="auto"/>
        <w:bottom w:val="none" w:sz="0" w:space="0" w:color="auto"/>
        <w:right w:val="none" w:sz="0" w:space="0" w:color="auto"/>
      </w:divBdr>
    </w:div>
    <w:div w:id="205641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c.gov/nssp/overview-animation.html" TargetMode="External"/><Relationship Id="rId18" Type="http://schemas.microsoft.com/office/2016/09/relationships/commentsIds" Target="commentsIds.xml"/><Relationship Id="rId26" Type="http://schemas.openxmlformats.org/officeDocument/2006/relationships/hyperlink" Target="https://knowledgerepository.syndromicsurveillance.org/search/syndrome" TargetMode="External"/><Relationship Id="rId3" Type="http://schemas.openxmlformats.org/officeDocument/2006/relationships/customXml" Target="../customXml/item3.xml"/><Relationship Id="rId21" Type="http://schemas.openxmlformats.org/officeDocument/2006/relationships/hyperlink" Target="https://www.nejm.org/doi/full/10.1056/NEJMsr1915313?url_ver=Z39.88-2003&amp;rfr_id=ori%3Arid%3Acrossref.org&amp;rfr_dat=cr_pub%3Dpubmed"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dc.gov/nssp/infographic.html" TargetMode="External"/><Relationship Id="rId17" Type="http://schemas.microsoft.com/office/2011/relationships/commentsExtended" Target="commentsExtended.xml"/><Relationship Id="rId25" Type="http://schemas.openxmlformats.org/officeDocument/2006/relationships/hyperlink" Target="https://knowledgerepository.syndromicsurveillance.org/"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www.cdc.gov/mmwr/volumes/69/wr/mm6904a3.htm"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c.gov/nssp/technical-pubs-and-standards.html" TargetMode="External"/><Relationship Id="rId24" Type="http://schemas.openxmlformats.org/officeDocument/2006/relationships/hyperlink" Target="http://nsspdev.wpengine.com/?page_id=64" TargetMode="External"/><Relationship Id="rId32"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prod-knowledge-repository.s3-us-gov-west-1.amazonaws.com/references/SDC_Syndrome%20Definition%20Guidance%20document_FINAL.PDF" TargetMode="External"/><Relationship Id="rId23" Type="http://schemas.openxmlformats.org/officeDocument/2006/relationships/hyperlink" Target="https://www.ncbi.nlm.nih.gov/pubmed/28430095"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www.cdc.gov/nssp/documents/NSSP-overview.pdf" TargetMode="External"/><Relationship Id="rId19" Type="http://schemas.microsoft.com/office/2018/08/relationships/commentsExtensible" Target="commentsExtensible.xm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dc.gov/nssp/new-users.html" TargetMode="External"/><Relationship Id="rId22" Type="http://schemas.openxmlformats.org/officeDocument/2006/relationships/hyperlink" Target="https://vimeo.com/398866537" TargetMode="External"/><Relationship Id="rId27" Type="http://schemas.openxmlformats.org/officeDocument/2006/relationships/hyperlink" Target="mailto:syndromic@cste.org" TargetMode="External"/><Relationship Id="rId30" Type="http://schemas.openxmlformats.org/officeDocument/2006/relationships/footer" Target="footer1.xml"/><Relationship Id="rId35" Type="http://schemas.microsoft.com/office/2011/relationships/people" Target="people.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C0F68EEAB86D448FEAC2370235C171" ma:contentTypeVersion="13" ma:contentTypeDescription="Create a new document." ma:contentTypeScope="" ma:versionID="fc0a6d63fcefebfb8db4cf750d59381e">
  <xsd:schema xmlns:xsd="http://www.w3.org/2001/XMLSchema" xmlns:xs="http://www.w3.org/2001/XMLSchema" xmlns:p="http://schemas.microsoft.com/office/2006/metadata/properties" xmlns:ns3="064c9f98-e7b6-430a-8bb6-89659cbafb88" xmlns:ns4="60f4291f-a0c9-4398-a0d8-78044b95424c" targetNamespace="http://schemas.microsoft.com/office/2006/metadata/properties" ma:root="true" ma:fieldsID="38c868dd64db20d0f4acce9a28586943" ns3:_="" ns4:_="">
    <xsd:import namespace="064c9f98-e7b6-430a-8bb6-89659cbafb88"/>
    <xsd:import namespace="60f4291f-a0c9-4398-a0d8-78044b95424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c9f98-e7b6-430a-8bb6-89659cbafb8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f4291f-a0c9-4398-a0d8-78044b95424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9CB202-A541-4FF7-800A-1F0C03353738}">
  <ds:schemaRefs>
    <ds:schemaRef ds:uri="http://schemas.microsoft.com/sharepoint/v3/contenttype/forms"/>
  </ds:schemaRefs>
</ds:datastoreItem>
</file>

<file path=customXml/itemProps2.xml><?xml version="1.0" encoding="utf-8"?>
<ds:datastoreItem xmlns:ds="http://schemas.openxmlformats.org/officeDocument/2006/customXml" ds:itemID="{507D2E18-17D2-48D7-ABFA-3DEF51D031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D987356-426C-45D1-955D-2F9CCA27D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c9f98-e7b6-430a-8bb6-89659cbafb88"/>
    <ds:schemaRef ds:uri="60f4291f-a0c9-4398-a0d8-78044b954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601</TotalTime>
  <Pages>1</Pages>
  <Words>663</Words>
  <Characters>3782</Characters>
  <Application>Microsoft Office Word</Application>
  <DocSecurity>4</DocSecurity>
  <Lines>31</Lines>
  <Paragraphs>8</Paragraphs>
  <ScaleCrop>false</ScaleCrop>
  <Company/>
  <LinksUpToDate>false</LinksUpToDate>
  <CharactersWithSpaces>4437</CharactersWithSpaces>
  <SharedDoc>false</SharedDoc>
  <HLinks>
    <vt:vector size="84" baseType="variant">
      <vt:variant>
        <vt:i4>4718696</vt:i4>
      </vt:variant>
      <vt:variant>
        <vt:i4>39</vt:i4>
      </vt:variant>
      <vt:variant>
        <vt:i4>0</vt:i4>
      </vt:variant>
      <vt:variant>
        <vt:i4>5</vt:i4>
      </vt:variant>
      <vt:variant>
        <vt:lpwstr>mailto:syndromic@cste.org</vt:lpwstr>
      </vt:variant>
      <vt:variant>
        <vt:lpwstr/>
      </vt:variant>
      <vt:variant>
        <vt:i4>4980756</vt:i4>
      </vt:variant>
      <vt:variant>
        <vt:i4>36</vt:i4>
      </vt:variant>
      <vt:variant>
        <vt:i4>0</vt:i4>
      </vt:variant>
      <vt:variant>
        <vt:i4>5</vt:i4>
      </vt:variant>
      <vt:variant>
        <vt:lpwstr>https://knowledgerepository.syndromicsurveillance.org/search/syndrome</vt:lpwstr>
      </vt:variant>
      <vt:variant>
        <vt:lpwstr/>
      </vt:variant>
      <vt:variant>
        <vt:i4>3211320</vt:i4>
      </vt:variant>
      <vt:variant>
        <vt:i4>33</vt:i4>
      </vt:variant>
      <vt:variant>
        <vt:i4>0</vt:i4>
      </vt:variant>
      <vt:variant>
        <vt:i4>5</vt:i4>
      </vt:variant>
      <vt:variant>
        <vt:lpwstr>https://knowledgerepository.syndromicsurveillance.org/</vt:lpwstr>
      </vt:variant>
      <vt:variant>
        <vt:lpwstr/>
      </vt:variant>
      <vt:variant>
        <vt:i4>4915250</vt:i4>
      </vt:variant>
      <vt:variant>
        <vt:i4>30</vt:i4>
      </vt:variant>
      <vt:variant>
        <vt:i4>0</vt:i4>
      </vt:variant>
      <vt:variant>
        <vt:i4>5</vt:i4>
      </vt:variant>
      <vt:variant>
        <vt:lpwstr>http://nsspdev.wpengine.com/?page_id=64</vt:lpwstr>
      </vt:variant>
      <vt:variant>
        <vt:lpwstr/>
      </vt:variant>
      <vt:variant>
        <vt:i4>84</vt:i4>
      </vt:variant>
      <vt:variant>
        <vt:i4>27</vt:i4>
      </vt:variant>
      <vt:variant>
        <vt:i4>0</vt:i4>
      </vt:variant>
      <vt:variant>
        <vt:i4>5</vt:i4>
      </vt:variant>
      <vt:variant>
        <vt:lpwstr>https://www.ncbi.nlm.nih.gov/pubmed/28430095</vt:lpwstr>
      </vt:variant>
      <vt:variant>
        <vt:lpwstr/>
      </vt:variant>
      <vt:variant>
        <vt:i4>7798834</vt:i4>
      </vt:variant>
      <vt:variant>
        <vt:i4>24</vt:i4>
      </vt:variant>
      <vt:variant>
        <vt:i4>0</vt:i4>
      </vt:variant>
      <vt:variant>
        <vt:i4>5</vt:i4>
      </vt:variant>
      <vt:variant>
        <vt:lpwstr>https://vimeo.com/398866537</vt:lpwstr>
      </vt:variant>
      <vt:variant>
        <vt:lpwstr/>
      </vt:variant>
      <vt:variant>
        <vt:i4>1769498</vt:i4>
      </vt:variant>
      <vt:variant>
        <vt:i4>21</vt:i4>
      </vt:variant>
      <vt:variant>
        <vt:i4>0</vt:i4>
      </vt:variant>
      <vt:variant>
        <vt:i4>5</vt:i4>
      </vt:variant>
      <vt:variant>
        <vt:lpwstr>https://www.nejm.org/doi/full/10.1056/NEJMsr1915313?url_ver=Z39.88-2003&amp;rfr_id=ori%3Arid%3Acrossref.org&amp;rfr_dat=cr_pub%3Dpubmed</vt:lpwstr>
      </vt:variant>
      <vt:variant>
        <vt:lpwstr/>
      </vt:variant>
      <vt:variant>
        <vt:i4>6422638</vt:i4>
      </vt:variant>
      <vt:variant>
        <vt:i4>18</vt:i4>
      </vt:variant>
      <vt:variant>
        <vt:i4>0</vt:i4>
      </vt:variant>
      <vt:variant>
        <vt:i4>5</vt:i4>
      </vt:variant>
      <vt:variant>
        <vt:lpwstr>https://www.cdc.gov/mmwr/volumes/69/wr/mm6904a3.htm</vt:lpwstr>
      </vt:variant>
      <vt:variant>
        <vt:lpwstr/>
      </vt:variant>
      <vt:variant>
        <vt:i4>7798908</vt:i4>
      </vt:variant>
      <vt:variant>
        <vt:i4>15</vt:i4>
      </vt:variant>
      <vt:variant>
        <vt:i4>0</vt:i4>
      </vt:variant>
      <vt:variant>
        <vt:i4>5</vt:i4>
      </vt:variant>
      <vt:variant>
        <vt:lpwstr>https://prod-knowledge-repository.s3-us-gov-west-1.amazonaws.com/references/SDC_Syndrome Definition Guidance document_FINAL.PDF</vt:lpwstr>
      </vt:variant>
      <vt:variant>
        <vt:lpwstr/>
      </vt:variant>
      <vt:variant>
        <vt:i4>4063344</vt:i4>
      </vt:variant>
      <vt:variant>
        <vt:i4>12</vt:i4>
      </vt:variant>
      <vt:variant>
        <vt:i4>0</vt:i4>
      </vt:variant>
      <vt:variant>
        <vt:i4>5</vt:i4>
      </vt:variant>
      <vt:variant>
        <vt:lpwstr>https://www.cdc.gov/nssp/new-users.html</vt:lpwstr>
      </vt:variant>
      <vt:variant>
        <vt:lpwstr/>
      </vt:variant>
      <vt:variant>
        <vt:i4>5963794</vt:i4>
      </vt:variant>
      <vt:variant>
        <vt:i4>9</vt:i4>
      </vt:variant>
      <vt:variant>
        <vt:i4>0</vt:i4>
      </vt:variant>
      <vt:variant>
        <vt:i4>5</vt:i4>
      </vt:variant>
      <vt:variant>
        <vt:lpwstr>https://www.cdc.gov/nssp/overview-animation.html</vt:lpwstr>
      </vt:variant>
      <vt:variant>
        <vt:lpwstr/>
      </vt:variant>
      <vt:variant>
        <vt:i4>3801141</vt:i4>
      </vt:variant>
      <vt:variant>
        <vt:i4>6</vt:i4>
      </vt:variant>
      <vt:variant>
        <vt:i4>0</vt:i4>
      </vt:variant>
      <vt:variant>
        <vt:i4>5</vt:i4>
      </vt:variant>
      <vt:variant>
        <vt:lpwstr>https://www.cdc.gov/nssp/infographic.html</vt:lpwstr>
      </vt:variant>
      <vt:variant>
        <vt:lpwstr>blocks</vt:lpwstr>
      </vt:variant>
      <vt:variant>
        <vt:i4>6422586</vt:i4>
      </vt:variant>
      <vt:variant>
        <vt:i4>3</vt:i4>
      </vt:variant>
      <vt:variant>
        <vt:i4>0</vt:i4>
      </vt:variant>
      <vt:variant>
        <vt:i4>5</vt:i4>
      </vt:variant>
      <vt:variant>
        <vt:lpwstr>https://www.cdc.gov/nssp/technical-pubs-and-standards.html</vt:lpwstr>
      </vt:variant>
      <vt:variant>
        <vt:lpwstr/>
      </vt:variant>
      <vt:variant>
        <vt:i4>655383</vt:i4>
      </vt:variant>
      <vt:variant>
        <vt:i4>0</vt:i4>
      </vt:variant>
      <vt:variant>
        <vt:i4>0</vt:i4>
      </vt:variant>
      <vt:variant>
        <vt:i4>5</vt:i4>
      </vt:variant>
      <vt:variant>
        <vt:lpwstr>https://www.cdc.gov/nssp/documents/NSSP-overview.pdf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Israel</dc:creator>
  <cp:keywords/>
  <dc:description/>
  <cp:lastModifiedBy>Mia Israel</cp:lastModifiedBy>
  <cp:revision>113</cp:revision>
  <dcterms:created xsi:type="dcterms:W3CDTF">2020-04-27T13:23:00Z</dcterms:created>
  <dcterms:modified xsi:type="dcterms:W3CDTF">2020-05-26T22:39:00Z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0x010100AAC0F68EEAB86D448FEAC2370235C171</vt:lpwstr>
  </property>
</Properties>
</file>