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BA930" w14:textId="77777777" w:rsidR="00422FAB" w:rsidRDefault="00422FAB" w:rsidP="00422FAB">
      <w:r w:rsidRPr="00422FAB">
        <w:rPr>
          <w:rStyle w:val="Heading1Char"/>
        </w:rPr>
        <w:t>Introduction</w:t>
      </w:r>
      <w:r>
        <w:t xml:space="preserve"> </w:t>
      </w:r>
    </w:p>
    <w:p w14:paraId="5F66F5AD" w14:textId="0E6F659F" w:rsidR="00422FAB" w:rsidRDefault="00422FAB" w:rsidP="00422FAB">
      <w:pPr>
        <w:ind w:firstLine="720"/>
      </w:pPr>
      <w:r>
        <w:t>These profiles serve as a starting point for analyzing vulnerability in the f</w:t>
      </w:r>
      <w:r w:rsidRPr="00245E24">
        <w:t xml:space="preserve">ollowing regions of Mississippi: </w:t>
      </w:r>
      <w:r>
        <w:t xml:space="preserve">Gulf Coast, </w:t>
      </w:r>
      <w:r w:rsidRPr="00245E24">
        <w:t>Pine Belt, Metro Jackson, Delta, Memphis Metro, and Appalachian</w:t>
      </w:r>
      <w:r>
        <w:t>.</w:t>
      </w:r>
      <w:r>
        <w:t xml:space="preserve">  Counties are selected </w:t>
      </w:r>
      <w:r w:rsidR="00DE332D">
        <w:t>arbitrarily</w:t>
      </w:r>
      <w:r w:rsidR="0097651E">
        <w:t xml:space="preserve"> within each region.</w:t>
      </w:r>
      <w:r w:rsidR="0051404B">
        <w:t xml:space="preserve">  Indicators and outcomes are presented in a “higher is worse” ranking, where greater numbers represent more vulnerability or </w:t>
      </w:r>
      <w:r w:rsidR="008F4E69">
        <w:t>higher incidence.</w:t>
      </w:r>
    </w:p>
    <w:p w14:paraId="44C89610" w14:textId="60317129" w:rsidR="00422FAB" w:rsidRDefault="00422FAB" w:rsidP="00422FAB">
      <w:pPr>
        <w:pStyle w:val="Heading1"/>
      </w:pPr>
      <w:r>
        <w:br w:type="page"/>
      </w:r>
    </w:p>
    <w:p w14:paraId="3CF41043" w14:textId="62C1EDB1" w:rsidR="0032327F" w:rsidRPr="00587848" w:rsidRDefault="0032327F" w:rsidP="0032327F">
      <w:pPr>
        <w:pStyle w:val="Heading3"/>
        <w:ind w:firstLine="720"/>
        <w:rPr>
          <w:rFonts w:asciiTheme="minorHAnsi" w:hAnsiTheme="minorHAnsi"/>
          <w:color w:val="2F5496" w:themeColor="accent1" w:themeShade="BF"/>
          <w:sz w:val="26"/>
          <w:szCs w:val="26"/>
        </w:rPr>
      </w:pPr>
      <w:r w:rsidRPr="00587848">
        <w:rPr>
          <w:rFonts w:asciiTheme="minorHAnsi" w:hAnsiTheme="minorHAnsi"/>
          <w:color w:val="2F5496" w:themeColor="accent1" w:themeShade="BF"/>
          <w:sz w:val="26"/>
          <w:szCs w:val="26"/>
        </w:rPr>
        <w:lastRenderedPageBreak/>
        <w:t>Focus</w:t>
      </w:r>
      <w:r w:rsidR="00141993">
        <w:rPr>
          <w:rFonts w:asciiTheme="minorHAnsi" w:hAnsiTheme="minorHAnsi"/>
          <w:color w:val="2F5496" w:themeColor="accent1" w:themeShade="BF"/>
          <w:sz w:val="26"/>
          <w:szCs w:val="26"/>
        </w:rPr>
        <w:t>: Gulf Coast</w:t>
      </w:r>
    </w:p>
    <w:p w14:paraId="7A20B7D9" w14:textId="062E3158" w:rsidR="0032327F" w:rsidRDefault="0032327F" w:rsidP="0032327F">
      <w:r>
        <w:tab/>
      </w:r>
      <w:r w:rsidR="0097651E">
        <w:t xml:space="preserve">Pearl </w:t>
      </w:r>
      <w:r>
        <w:t>River County</w:t>
      </w:r>
      <w:r w:rsidR="0097651E">
        <w:t xml:space="preserve"> is</w:t>
      </w:r>
      <w:r>
        <w:t xml:space="preserve"> located in the Gulf Coast Region.  Across the four indicators, Pearl River has an average rank of 59 (out of a maximum possible of 88 counties): 81 for deaths, 56 for prescriptions, 18 for income, 81 for drug arrests.  It has the 74</w:t>
      </w:r>
      <w:r>
        <w:rPr>
          <w:vertAlign w:val="superscript"/>
        </w:rPr>
        <w:t>th</w:t>
      </w:r>
      <w:r>
        <w:t xml:space="preserve"> highest rate of HCV incidence, 179 per 100,000 population.</w:t>
      </w:r>
    </w:p>
    <w:p w14:paraId="5439F40B" w14:textId="77777777" w:rsidR="0032327F" w:rsidRDefault="0032327F" w:rsidP="0032327F">
      <w:r>
        <w:tab/>
        <w:t>By comparison to state averages (median rate of HCV incidence in Mississippi is 100 per 100,000 population) the HCV incidence is Pearl River County is 1.8 times higher.  The two indicators where Pearl River County has the greatest ranked vulnerability are drug overdose deaths and drug arrests.  By focusing on evidence-based programs that lower these indicators, Pearl River County’s HCV incidence would be expected to move closer to the statewide median, and thus reduce vulnerability.</w:t>
      </w:r>
      <w:r>
        <w:br/>
      </w:r>
    </w:p>
    <w:p w14:paraId="6F70758D" w14:textId="71D18900" w:rsidR="00E14048" w:rsidRDefault="005827DA">
      <w:r>
        <w:rPr>
          <w:noProof/>
        </w:rPr>
        <w:drawing>
          <wp:inline distT="0" distB="0" distL="0" distR="0" wp14:anchorId="0E81A729" wp14:editId="73C57FA9">
            <wp:extent cx="5943600" cy="4238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4238625"/>
                    </a:xfrm>
                    <a:prstGeom prst="rect">
                      <a:avLst/>
                    </a:prstGeom>
                  </pic:spPr>
                </pic:pic>
              </a:graphicData>
            </a:graphic>
          </wp:inline>
        </w:drawing>
      </w:r>
    </w:p>
    <w:p w14:paraId="5E490DE3" w14:textId="1B3AC3AA" w:rsidR="0097651E" w:rsidRDefault="0097651E">
      <w:r>
        <w:br w:type="page"/>
      </w:r>
    </w:p>
    <w:p w14:paraId="625A87DD" w14:textId="0D412A20" w:rsidR="0097651E" w:rsidRPr="00587848" w:rsidRDefault="0097651E" w:rsidP="0097651E">
      <w:pPr>
        <w:pStyle w:val="Heading3"/>
        <w:ind w:firstLine="720"/>
        <w:rPr>
          <w:rFonts w:asciiTheme="minorHAnsi" w:hAnsiTheme="minorHAnsi"/>
          <w:color w:val="2F5496" w:themeColor="accent1" w:themeShade="BF"/>
          <w:sz w:val="26"/>
          <w:szCs w:val="26"/>
        </w:rPr>
      </w:pPr>
      <w:r w:rsidRPr="00587848">
        <w:rPr>
          <w:rFonts w:asciiTheme="minorHAnsi" w:hAnsiTheme="minorHAnsi"/>
          <w:color w:val="2F5496" w:themeColor="accent1" w:themeShade="BF"/>
          <w:sz w:val="26"/>
          <w:szCs w:val="26"/>
        </w:rPr>
        <w:lastRenderedPageBreak/>
        <w:t>Focus</w:t>
      </w:r>
      <w:r>
        <w:rPr>
          <w:rFonts w:asciiTheme="minorHAnsi" w:hAnsiTheme="minorHAnsi"/>
          <w:color w:val="2F5496" w:themeColor="accent1" w:themeShade="BF"/>
          <w:sz w:val="26"/>
          <w:szCs w:val="26"/>
        </w:rPr>
        <w:t xml:space="preserve">: </w:t>
      </w:r>
      <w:r w:rsidR="00603F10">
        <w:rPr>
          <w:rFonts w:asciiTheme="minorHAnsi" w:hAnsiTheme="minorHAnsi"/>
          <w:color w:val="2F5496" w:themeColor="accent1" w:themeShade="BF"/>
          <w:sz w:val="26"/>
          <w:szCs w:val="26"/>
        </w:rPr>
        <w:t>Pine Belt</w:t>
      </w:r>
    </w:p>
    <w:p w14:paraId="461B1BB3" w14:textId="2FDB4384" w:rsidR="0097651E" w:rsidRDefault="0097651E" w:rsidP="0097651E">
      <w:r>
        <w:tab/>
      </w:r>
      <w:r w:rsidR="00B71D6E">
        <w:t>Forrest</w:t>
      </w:r>
      <w:r>
        <w:t xml:space="preserve"> County is located in the </w:t>
      </w:r>
      <w:r w:rsidR="00603F10">
        <w:t>Pine Belt</w:t>
      </w:r>
      <w:r>
        <w:t xml:space="preserve"> Region.  Across the four indicators, </w:t>
      </w:r>
      <w:r w:rsidR="004C48ED">
        <w:t>Forrest County</w:t>
      </w:r>
      <w:r>
        <w:t xml:space="preserve"> has an average rank of </w:t>
      </w:r>
      <w:r w:rsidR="004C48ED">
        <w:t>4</w:t>
      </w:r>
      <w:r w:rsidR="00575A5E">
        <w:t>7.75</w:t>
      </w:r>
      <w:r>
        <w:t xml:space="preserve"> (out of a maximum possible of 88 counties): </w:t>
      </w:r>
      <w:r w:rsidR="00575A5E">
        <w:t>51</w:t>
      </w:r>
      <w:r>
        <w:t xml:space="preserve"> for deaths, </w:t>
      </w:r>
      <w:r w:rsidR="00575A5E">
        <w:t>30</w:t>
      </w:r>
      <w:r>
        <w:t xml:space="preserve"> for prescriptions, </w:t>
      </w:r>
      <w:r w:rsidR="00575A5E">
        <w:t>30</w:t>
      </w:r>
      <w:r>
        <w:t xml:space="preserve"> for income, 8</w:t>
      </w:r>
      <w:r w:rsidR="00575A5E">
        <w:t>0</w:t>
      </w:r>
      <w:r>
        <w:t xml:space="preserve"> for drug arrests.  It has the 7</w:t>
      </w:r>
      <w:r w:rsidR="00575A5E">
        <w:t>1</w:t>
      </w:r>
      <w:r>
        <w:rPr>
          <w:vertAlign w:val="superscript"/>
        </w:rPr>
        <w:t>th</w:t>
      </w:r>
      <w:r>
        <w:t xml:space="preserve"> highest rate of HCV incidence, </w:t>
      </w:r>
      <w:r w:rsidR="00BF3B69">
        <w:t>167</w:t>
      </w:r>
      <w:r>
        <w:t xml:space="preserve"> per 100,000 population.</w:t>
      </w:r>
    </w:p>
    <w:p w14:paraId="387101B0" w14:textId="484D1A61" w:rsidR="0097651E" w:rsidRDefault="0097651E" w:rsidP="0097651E">
      <w:r>
        <w:tab/>
        <w:t xml:space="preserve">By comparison to state averages (median rate of HCV incidence in Mississippi is 100 per 100,000 population) the HCV incidence is </w:t>
      </w:r>
      <w:r w:rsidR="00BF3B69">
        <w:t>Forrest County</w:t>
      </w:r>
      <w:r>
        <w:t xml:space="preserve"> is 1.</w:t>
      </w:r>
      <w:r w:rsidR="00BF3B69">
        <w:t>7</w:t>
      </w:r>
      <w:r>
        <w:t xml:space="preserve"> times higher.  The two indicators where </w:t>
      </w:r>
      <w:r w:rsidR="00EA2554">
        <w:t>Forrest</w:t>
      </w:r>
      <w:r>
        <w:t xml:space="preserve"> County has the greatest ranked vulnerability are drug overdose deaths and drug arrests.  By focusing on evidence-based programs that lower these indicators, </w:t>
      </w:r>
      <w:r w:rsidR="00D65E10">
        <w:t>Forrest</w:t>
      </w:r>
      <w:r>
        <w:t xml:space="preserve"> County’s HCV incidence would be expected to move closer to the statewide median, and thus reduce vulnerability.</w:t>
      </w:r>
    </w:p>
    <w:p w14:paraId="1A4F2108" w14:textId="171F6224" w:rsidR="006A0015" w:rsidRDefault="00575A5E" w:rsidP="0097651E">
      <w:r>
        <w:rPr>
          <w:noProof/>
        </w:rPr>
        <w:drawing>
          <wp:inline distT="0" distB="0" distL="0" distR="0" wp14:anchorId="50B09BC7" wp14:editId="44B2CEE1">
            <wp:extent cx="5943600" cy="41992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4199255"/>
                    </a:xfrm>
                    <a:prstGeom prst="rect">
                      <a:avLst/>
                    </a:prstGeom>
                  </pic:spPr>
                </pic:pic>
              </a:graphicData>
            </a:graphic>
          </wp:inline>
        </w:drawing>
      </w:r>
    </w:p>
    <w:p w14:paraId="2A04C9A2" w14:textId="7600FAB0" w:rsidR="00D65E10" w:rsidRDefault="00D65E10" w:rsidP="0097651E">
      <w:r>
        <w:br w:type="page"/>
      </w:r>
    </w:p>
    <w:p w14:paraId="34445447" w14:textId="6E8E1AD4" w:rsidR="00D65E10" w:rsidRPr="00587848" w:rsidRDefault="00D65E10" w:rsidP="00D65E10">
      <w:pPr>
        <w:pStyle w:val="Heading3"/>
        <w:ind w:firstLine="720"/>
        <w:rPr>
          <w:rFonts w:asciiTheme="minorHAnsi" w:hAnsiTheme="minorHAnsi"/>
          <w:color w:val="2F5496" w:themeColor="accent1" w:themeShade="BF"/>
          <w:sz w:val="26"/>
          <w:szCs w:val="26"/>
        </w:rPr>
      </w:pPr>
      <w:r w:rsidRPr="00587848">
        <w:rPr>
          <w:rFonts w:asciiTheme="minorHAnsi" w:hAnsiTheme="minorHAnsi"/>
          <w:color w:val="2F5496" w:themeColor="accent1" w:themeShade="BF"/>
          <w:sz w:val="26"/>
          <w:szCs w:val="26"/>
        </w:rPr>
        <w:lastRenderedPageBreak/>
        <w:t>Focus</w:t>
      </w:r>
      <w:r>
        <w:rPr>
          <w:rFonts w:asciiTheme="minorHAnsi" w:hAnsiTheme="minorHAnsi"/>
          <w:color w:val="2F5496" w:themeColor="accent1" w:themeShade="BF"/>
          <w:sz w:val="26"/>
          <w:szCs w:val="26"/>
        </w:rPr>
        <w:t xml:space="preserve">: </w:t>
      </w:r>
      <w:r w:rsidR="00087733">
        <w:rPr>
          <w:rFonts w:asciiTheme="minorHAnsi" w:hAnsiTheme="minorHAnsi"/>
          <w:color w:val="2F5496" w:themeColor="accent1" w:themeShade="BF"/>
          <w:sz w:val="26"/>
          <w:szCs w:val="26"/>
        </w:rPr>
        <w:t>Jackson Metro</w:t>
      </w:r>
    </w:p>
    <w:p w14:paraId="3C6209A6" w14:textId="7CD6B086" w:rsidR="00D65E10" w:rsidRDefault="00D65E10" w:rsidP="00D65E10">
      <w:r>
        <w:tab/>
      </w:r>
      <w:r w:rsidR="0032239F">
        <w:t>Hinds</w:t>
      </w:r>
      <w:r>
        <w:t xml:space="preserve"> County is located in the </w:t>
      </w:r>
      <w:r w:rsidR="0032239F">
        <w:t>Jackson Metro</w:t>
      </w:r>
      <w:r>
        <w:t xml:space="preserve"> Region.  Across the four indicators, </w:t>
      </w:r>
      <w:r w:rsidR="0032239F">
        <w:t>Hinds</w:t>
      </w:r>
      <w:r>
        <w:t xml:space="preserve"> County has an average rank of </w:t>
      </w:r>
      <w:r w:rsidR="00CD0031">
        <w:t>38</w:t>
      </w:r>
      <w:r>
        <w:t xml:space="preserve"> (out of a maximum possible of 88 counties): 5</w:t>
      </w:r>
      <w:r w:rsidR="00CD0031">
        <w:t>6</w:t>
      </w:r>
      <w:r>
        <w:t xml:space="preserve"> for deaths, </w:t>
      </w:r>
      <w:r w:rsidR="00CD0031">
        <w:t>5</w:t>
      </w:r>
      <w:r>
        <w:t xml:space="preserve"> for prescriptions, </w:t>
      </w:r>
      <w:r w:rsidR="00DA6FA2">
        <w:t>17</w:t>
      </w:r>
      <w:r>
        <w:t xml:space="preserve"> for income, </w:t>
      </w:r>
      <w:r w:rsidR="00DA6FA2">
        <w:t>74</w:t>
      </w:r>
      <w:r>
        <w:t xml:space="preserve"> for drug arrests.  It has the </w:t>
      </w:r>
      <w:r w:rsidR="00DA6FA2">
        <w:t>58</w:t>
      </w:r>
      <w:r>
        <w:rPr>
          <w:vertAlign w:val="superscript"/>
        </w:rPr>
        <w:t>th</w:t>
      </w:r>
      <w:r>
        <w:t xml:space="preserve"> highest rate of HCV incidence, </w:t>
      </w:r>
      <w:r w:rsidR="00DA6FA2">
        <w:t>133</w:t>
      </w:r>
      <w:r>
        <w:t xml:space="preserve"> per 100,000 population.</w:t>
      </w:r>
    </w:p>
    <w:p w14:paraId="181907B0" w14:textId="1E176A9C" w:rsidR="00D65E10" w:rsidRDefault="00D65E10" w:rsidP="00D65E10">
      <w:r>
        <w:tab/>
        <w:t xml:space="preserve">By comparison to state averages (median rate of HCV incidence in Mississippi is 100 per 100,000 population) the HCV incidence is </w:t>
      </w:r>
      <w:r w:rsidR="00DA6FA2">
        <w:t>Hinds</w:t>
      </w:r>
      <w:r>
        <w:t xml:space="preserve"> County is 1.</w:t>
      </w:r>
      <w:r w:rsidR="00DA6FA2">
        <w:t>3</w:t>
      </w:r>
      <w:r>
        <w:t xml:space="preserve"> times higher.  The two indicators where </w:t>
      </w:r>
      <w:r w:rsidR="00DA6FA2">
        <w:t>Hinds</w:t>
      </w:r>
      <w:r>
        <w:t xml:space="preserve"> County has the greatest ranked vulnerability are drug overdose deaths and drug arrests.  By focusing on evidence-based programs that lower these indicators, </w:t>
      </w:r>
      <w:r w:rsidR="00EA2554">
        <w:t>Hinds</w:t>
      </w:r>
      <w:r>
        <w:t xml:space="preserve"> County’s HCV incidence would be expected to move closer to the statewide median, and thus reduce vulnerability.</w:t>
      </w:r>
    </w:p>
    <w:p w14:paraId="1348B160" w14:textId="43C492B5" w:rsidR="00D65E10" w:rsidRDefault="0032239F" w:rsidP="00D65E10">
      <w:r>
        <w:rPr>
          <w:noProof/>
        </w:rPr>
        <w:drawing>
          <wp:inline distT="0" distB="0" distL="0" distR="0" wp14:anchorId="673CFCB3" wp14:editId="12C8FFD9">
            <wp:extent cx="5943600" cy="4216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4216400"/>
                    </a:xfrm>
                    <a:prstGeom prst="rect">
                      <a:avLst/>
                    </a:prstGeom>
                  </pic:spPr>
                </pic:pic>
              </a:graphicData>
            </a:graphic>
          </wp:inline>
        </w:drawing>
      </w:r>
    </w:p>
    <w:p w14:paraId="1E9E26D4" w14:textId="4377A89A" w:rsidR="00FE426E" w:rsidRDefault="00FE426E" w:rsidP="0097651E">
      <w:r>
        <w:br w:type="page"/>
      </w:r>
    </w:p>
    <w:p w14:paraId="745E11D1" w14:textId="2B7BA2BC" w:rsidR="00FE426E" w:rsidRPr="00587848" w:rsidRDefault="00FE426E" w:rsidP="00FE426E">
      <w:pPr>
        <w:pStyle w:val="Heading3"/>
        <w:ind w:firstLine="720"/>
        <w:rPr>
          <w:rFonts w:asciiTheme="minorHAnsi" w:hAnsiTheme="minorHAnsi"/>
          <w:color w:val="2F5496" w:themeColor="accent1" w:themeShade="BF"/>
          <w:sz w:val="26"/>
          <w:szCs w:val="26"/>
        </w:rPr>
      </w:pPr>
      <w:r w:rsidRPr="00587848">
        <w:rPr>
          <w:rFonts w:asciiTheme="minorHAnsi" w:hAnsiTheme="minorHAnsi"/>
          <w:color w:val="2F5496" w:themeColor="accent1" w:themeShade="BF"/>
          <w:sz w:val="26"/>
          <w:szCs w:val="26"/>
        </w:rPr>
        <w:lastRenderedPageBreak/>
        <w:t>Focus</w:t>
      </w:r>
      <w:r>
        <w:rPr>
          <w:rFonts w:asciiTheme="minorHAnsi" w:hAnsiTheme="minorHAnsi"/>
          <w:color w:val="2F5496" w:themeColor="accent1" w:themeShade="BF"/>
          <w:sz w:val="26"/>
          <w:szCs w:val="26"/>
        </w:rPr>
        <w:t xml:space="preserve">: </w:t>
      </w:r>
      <w:r>
        <w:rPr>
          <w:rFonts w:asciiTheme="minorHAnsi" w:hAnsiTheme="minorHAnsi"/>
          <w:color w:val="2F5496" w:themeColor="accent1" w:themeShade="BF"/>
          <w:sz w:val="26"/>
          <w:szCs w:val="26"/>
        </w:rPr>
        <w:t>Mississippi Delta</w:t>
      </w:r>
    </w:p>
    <w:p w14:paraId="57DE82CC" w14:textId="19EA0278" w:rsidR="00FE426E" w:rsidRDefault="00FE426E" w:rsidP="00FE426E">
      <w:r>
        <w:tab/>
      </w:r>
      <w:r>
        <w:t>Washington</w:t>
      </w:r>
      <w:r>
        <w:t xml:space="preserve"> County is located in the </w:t>
      </w:r>
      <w:r>
        <w:t>Mississippi Delta</w:t>
      </w:r>
      <w:r>
        <w:t xml:space="preserve"> Region.  Across the four indicators, </w:t>
      </w:r>
      <w:r w:rsidR="004D4B17">
        <w:t>Washington</w:t>
      </w:r>
      <w:r>
        <w:t xml:space="preserve"> County has an average rank of 38 (out of a maximum possible of 88 counties): </w:t>
      </w:r>
      <w:r w:rsidR="004D4B17">
        <w:t>14</w:t>
      </w:r>
      <w:r>
        <w:t xml:space="preserve"> for deaths, </w:t>
      </w:r>
      <w:r w:rsidR="004D4B17">
        <w:t>34</w:t>
      </w:r>
      <w:r>
        <w:t xml:space="preserve"> for prescriptions, </w:t>
      </w:r>
      <w:r w:rsidR="004D4B17">
        <w:t>53</w:t>
      </w:r>
      <w:r>
        <w:t xml:space="preserve"> for income, </w:t>
      </w:r>
      <w:r w:rsidR="004D4B17">
        <w:t>49</w:t>
      </w:r>
      <w:r>
        <w:t xml:space="preserve"> for drug arrests.  It has the </w:t>
      </w:r>
      <w:r w:rsidR="0051404B">
        <w:t>21</w:t>
      </w:r>
      <w:r>
        <w:rPr>
          <w:vertAlign w:val="superscript"/>
        </w:rPr>
        <w:t>th</w:t>
      </w:r>
      <w:r>
        <w:t xml:space="preserve"> highest rate of HCV incidence, </w:t>
      </w:r>
      <w:r w:rsidR="008F4E69">
        <w:t>64</w:t>
      </w:r>
      <w:r>
        <w:t xml:space="preserve"> per 100,000 population.</w:t>
      </w:r>
    </w:p>
    <w:p w14:paraId="0E4CC054" w14:textId="2471A008" w:rsidR="00FE426E" w:rsidRDefault="00FE426E" w:rsidP="00FE426E">
      <w:r>
        <w:tab/>
        <w:t xml:space="preserve">By comparison to state averages (median rate of HCV incidence in Mississippi is 100 per 100,000 population) the HCV incidence is </w:t>
      </w:r>
      <w:r w:rsidR="008F4E69">
        <w:t>Washington</w:t>
      </w:r>
      <w:r>
        <w:t xml:space="preserve"> County is</w:t>
      </w:r>
      <w:r w:rsidR="008F4E69">
        <w:t xml:space="preserve"> 60% as</w:t>
      </w:r>
      <w:r>
        <w:t xml:space="preserve"> high.  The two indicators where </w:t>
      </w:r>
      <w:r w:rsidR="008F4E69">
        <w:t>Washington</w:t>
      </w:r>
      <w:r>
        <w:t xml:space="preserve"> County has the greatest ranked vulnerability are </w:t>
      </w:r>
      <w:r w:rsidR="008F4E69">
        <w:t>income</w:t>
      </w:r>
      <w:r>
        <w:t xml:space="preserve"> and drug arrests.  By focusing on evidence-based programs that </w:t>
      </w:r>
      <w:r w:rsidR="008F4E69">
        <w:t>improve</w:t>
      </w:r>
      <w:r>
        <w:t xml:space="preserve"> these indicators, </w:t>
      </w:r>
      <w:r w:rsidR="00AC7C4F">
        <w:t>Washington</w:t>
      </w:r>
      <w:r>
        <w:t xml:space="preserve"> County’s HCV incidence would be expected to </w:t>
      </w:r>
      <w:r w:rsidR="008F4E69">
        <w:t>continue to decrease</w:t>
      </w:r>
      <w:r>
        <w:t>, and thus reduce vulnerability.</w:t>
      </w:r>
    </w:p>
    <w:p w14:paraId="317AFF6D" w14:textId="21F57C29" w:rsidR="00FE426E" w:rsidRDefault="004D4B17" w:rsidP="00FE426E">
      <w:r>
        <w:rPr>
          <w:noProof/>
        </w:rPr>
        <w:drawing>
          <wp:inline distT="0" distB="0" distL="0" distR="0" wp14:anchorId="61A8F394" wp14:editId="3403C12A">
            <wp:extent cx="5943600" cy="424243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4242435"/>
                    </a:xfrm>
                    <a:prstGeom prst="rect">
                      <a:avLst/>
                    </a:prstGeom>
                  </pic:spPr>
                </pic:pic>
              </a:graphicData>
            </a:graphic>
          </wp:inline>
        </w:drawing>
      </w:r>
    </w:p>
    <w:p w14:paraId="56A5D92E" w14:textId="507250BE" w:rsidR="00AC7C4F" w:rsidRDefault="00AC7C4F" w:rsidP="00FE426E">
      <w:r>
        <w:br w:type="page"/>
      </w:r>
    </w:p>
    <w:p w14:paraId="5C978E27" w14:textId="3E4FF242" w:rsidR="00AC7C4F" w:rsidRPr="00587848" w:rsidRDefault="00AC7C4F" w:rsidP="00AC7C4F">
      <w:pPr>
        <w:pStyle w:val="Heading3"/>
        <w:ind w:firstLine="720"/>
        <w:rPr>
          <w:rFonts w:asciiTheme="minorHAnsi" w:hAnsiTheme="minorHAnsi"/>
          <w:color w:val="2F5496" w:themeColor="accent1" w:themeShade="BF"/>
          <w:sz w:val="26"/>
          <w:szCs w:val="26"/>
        </w:rPr>
      </w:pPr>
      <w:r w:rsidRPr="00587848">
        <w:rPr>
          <w:rFonts w:asciiTheme="minorHAnsi" w:hAnsiTheme="minorHAnsi"/>
          <w:color w:val="2F5496" w:themeColor="accent1" w:themeShade="BF"/>
          <w:sz w:val="26"/>
          <w:szCs w:val="26"/>
        </w:rPr>
        <w:lastRenderedPageBreak/>
        <w:t>Focus</w:t>
      </w:r>
      <w:r>
        <w:rPr>
          <w:rFonts w:asciiTheme="minorHAnsi" w:hAnsiTheme="minorHAnsi"/>
          <w:color w:val="2F5496" w:themeColor="accent1" w:themeShade="BF"/>
          <w:sz w:val="26"/>
          <w:szCs w:val="26"/>
        </w:rPr>
        <w:t xml:space="preserve">: </w:t>
      </w:r>
      <w:r w:rsidR="000A0B40">
        <w:rPr>
          <w:rFonts w:asciiTheme="minorHAnsi" w:hAnsiTheme="minorHAnsi"/>
          <w:color w:val="2F5496" w:themeColor="accent1" w:themeShade="BF"/>
          <w:sz w:val="26"/>
          <w:szCs w:val="26"/>
        </w:rPr>
        <w:t>Memphis Metropolitan</w:t>
      </w:r>
    </w:p>
    <w:p w14:paraId="3D3543E3" w14:textId="51859270" w:rsidR="00AC7C4F" w:rsidRDefault="00AC7C4F" w:rsidP="00AC7C4F">
      <w:r>
        <w:tab/>
      </w:r>
      <w:r w:rsidR="00236383">
        <w:t>Marshall</w:t>
      </w:r>
      <w:r>
        <w:t xml:space="preserve"> County is located in the </w:t>
      </w:r>
      <w:r w:rsidR="000A0B40">
        <w:t>Memphis Metropolitan</w:t>
      </w:r>
      <w:r>
        <w:t xml:space="preserve"> Region.  Across the four indicators, </w:t>
      </w:r>
      <w:r w:rsidR="00236383">
        <w:t>Marshall</w:t>
      </w:r>
      <w:r>
        <w:t xml:space="preserve"> County has an average rank of 3</w:t>
      </w:r>
      <w:r w:rsidR="0090492F">
        <w:t>4.25</w:t>
      </w:r>
      <w:r>
        <w:t xml:space="preserve"> (out of a maximum possible of 88 counties): </w:t>
      </w:r>
      <w:r w:rsidR="0090492F">
        <w:t>8</w:t>
      </w:r>
      <w:r>
        <w:t xml:space="preserve"> for deaths, </w:t>
      </w:r>
      <w:r w:rsidR="0090492F">
        <w:t>22</w:t>
      </w:r>
      <w:r>
        <w:t xml:space="preserve"> for prescriptions, </w:t>
      </w:r>
      <w:r w:rsidR="0090492F">
        <w:t>45</w:t>
      </w:r>
      <w:r>
        <w:t xml:space="preserve"> for income, </w:t>
      </w:r>
      <w:r w:rsidR="0090492F">
        <w:t>62</w:t>
      </w:r>
      <w:r>
        <w:t xml:space="preserve"> for drug arrests.  It has the </w:t>
      </w:r>
      <w:r w:rsidR="00AE1A99">
        <w:t>75</w:t>
      </w:r>
      <w:r>
        <w:rPr>
          <w:vertAlign w:val="superscript"/>
        </w:rPr>
        <w:t>th</w:t>
      </w:r>
      <w:r>
        <w:t xml:space="preserve"> highest rate of HCV incidence, </w:t>
      </w:r>
      <w:r w:rsidR="00AE1A99">
        <w:t>182</w:t>
      </w:r>
      <w:r>
        <w:t xml:space="preserve"> per 100,000 population.</w:t>
      </w:r>
    </w:p>
    <w:p w14:paraId="3F7A2D83" w14:textId="1D95C37C" w:rsidR="00AC7C4F" w:rsidRDefault="00AC7C4F" w:rsidP="00AC7C4F">
      <w:r>
        <w:tab/>
        <w:t xml:space="preserve">By comparison to state averages (median rate of HCV incidence in Mississippi is 100 per 100,000 population) the HCV incidence is </w:t>
      </w:r>
      <w:r w:rsidR="00236383">
        <w:t>Marshall</w:t>
      </w:r>
      <w:r>
        <w:t xml:space="preserve"> County is </w:t>
      </w:r>
      <w:r w:rsidR="00AE1A99">
        <w:t>1.8 times as high</w:t>
      </w:r>
      <w:r>
        <w:t xml:space="preserve">.  The two indicators where </w:t>
      </w:r>
      <w:r w:rsidR="00236383">
        <w:t>Marshall</w:t>
      </w:r>
      <w:r>
        <w:t xml:space="preserve"> County has the greatest ranked vulnerability are income and drug arrests.  By focusing on evidence-based programs that improve these indicators, </w:t>
      </w:r>
      <w:r w:rsidR="00236383">
        <w:t>Marshall</w:t>
      </w:r>
      <w:r>
        <w:t xml:space="preserve"> County’s HCV incidence would be expected to </w:t>
      </w:r>
      <w:r w:rsidR="00AE1A99">
        <w:t>decrease toward the statewide median.</w:t>
      </w:r>
    </w:p>
    <w:p w14:paraId="4D30D075" w14:textId="2058F952" w:rsidR="00AC7C4F" w:rsidRDefault="00236383" w:rsidP="00AC7C4F">
      <w:r>
        <w:rPr>
          <w:noProof/>
        </w:rPr>
        <w:drawing>
          <wp:inline distT="0" distB="0" distL="0" distR="0" wp14:anchorId="10617E68" wp14:editId="31243DFE">
            <wp:extent cx="5943600" cy="417131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4171315"/>
                    </a:xfrm>
                    <a:prstGeom prst="rect">
                      <a:avLst/>
                    </a:prstGeom>
                  </pic:spPr>
                </pic:pic>
              </a:graphicData>
            </a:graphic>
          </wp:inline>
        </w:drawing>
      </w:r>
    </w:p>
    <w:p w14:paraId="4C9072F9" w14:textId="77777777" w:rsidR="00FE426E" w:rsidRDefault="00FE426E" w:rsidP="00FE426E"/>
    <w:p w14:paraId="608BF5B5" w14:textId="1BD7CEC5" w:rsidR="00E62816" w:rsidRDefault="00E62816" w:rsidP="0097651E">
      <w:r>
        <w:br w:type="page"/>
      </w:r>
    </w:p>
    <w:p w14:paraId="2078BE20" w14:textId="7E543A53" w:rsidR="00E62816" w:rsidRPr="00587848" w:rsidRDefault="00E62816" w:rsidP="00E62816">
      <w:pPr>
        <w:pStyle w:val="Heading3"/>
        <w:ind w:firstLine="720"/>
        <w:rPr>
          <w:rFonts w:asciiTheme="minorHAnsi" w:hAnsiTheme="minorHAnsi"/>
          <w:color w:val="2F5496" w:themeColor="accent1" w:themeShade="BF"/>
          <w:sz w:val="26"/>
          <w:szCs w:val="26"/>
        </w:rPr>
      </w:pPr>
      <w:r w:rsidRPr="00587848">
        <w:rPr>
          <w:rFonts w:asciiTheme="minorHAnsi" w:hAnsiTheme="minorHAnsi"/>
          <w:color w:val="2F5496" w:themeColor="accent1" w:themeShade="BF"/>
          <w:sz w:val="26"/>
          <w:szCs w:val="26"/>
        </w:rPr>
        <w:lastRenderedPageBreak/>
        <w:t>Focus</w:t>
      </w:r>
      <w:r>
        <w:rPr>
          <w:rFonts w:asciiTheme="minorHAnsi" w:hAnsiTheme="minorHAnsi"/>
          <w:color w:val="2F5496" w:themeColor="accent1" w:themeShade="BF"/>
          <w:sz w:val="26"/>
          <w:szCs w:val="26"/>
        </w:rPr>
        <w:t xml:space="preserve">: </w:t>
      </w:r>
      <w:r>
        <w:rPr>
          <w:rFonts w:asciiTheme="minorHAnsi" w:hAnsiTheme="minorHAnsi"/>
          <w:color w:val="2F5496" w:themeColor="accent1" w:themeShade="BF"/>
          <w:sz w:val="26"/>
          <w:szCs w:val="26"/>
        </w:rPr>
        <w:t>Applachia</w:t>
      </w:r>
    </w:p>
    <w:p w14:paraId="53229AE7" w14:textId="0DFF402A" w:rsidR="00E62816" w:rsidRDefault="00E62816" w:rsidP="00E62816">
      <w:r>
        <w:tab/>
      </w:r>
      <w:r>
        <w:t>Union</w:t>
      </w:r>
      <w:r>
        <w:t xml:space="preserve"> County is located in </w:t>
      </w:r>
      <w:r>
        <w:t>the Applachain</w:t>
      </w:r>
      <w:r>
        <w:t xml:space="preserve"> Region.  Across the four indicators, </w:t>
      </w:r>
      <w:r>
        <w:t>Union</w:t>
      </w:r>
      <w:r>
        <w:t xml:space="preserve"> County has an average rank of </w:t>
      </w:r>
      <w:r w:rsidR="00B364D1">
        <w:t>53.75</w:t>
      </w:r>
      <w:r>
        <w:t xml:space="preserve"> (out of a maximum possible of 88 counties): </w:t>
      </w:r>
      <w:r w:rsidR="00B364D1">
        <w:t>60</w:t>
      </w:r>
      <w:r>
        <w:t xml:space="preserve"> for deaths, </w:t>
      </w:r>
      <w:r w:rsidR="00B364D1">
        <w:t>48</w:t>
      </w:r>
      <w:r>
        <w:t xml:space="preserve"> for prescriptions, 4</w:t>
      </w:r>
      <w:r w:rsidR="00B364D1">
        <w:t>9</w:t>
      </w:r>
      <w:r>
        <w:t xml:space="preserve"> for income, </w:t>
      </w:r>
      <w:r w:rsidR="00B364D1">
        <w:t>58</w:t>
      </w:r>
      <w:r>
        <w:t xml:space="preserve"> for drug arrests.  It has the </w:t>
      </w:r>
      <w:r w:rsidR="00B364D1">
        <w:t>37</w:t>
      </w:r>
      <w:r>
        <w:rPr>
          <w:vertAlign w:val="superscript"/>
        </w:rPr>
        <w:t>th</w:t>
      </w:r>
      <w:r>
        <w:t xml:space="preserve"> highest rate of HCV incidence, </w:t>
      </w:r>
      <w:r w:rsidR="00B364D1">
        <w:t>91</w:t>
      </w:r>
      <w:r>
        <w:t xml:space="preserve"> per 100,000 population.</w:t>
      </w:r>
    </w:p>
    <w:p w14:paraId="719D827B" w14:textId="2E791420" w:rsidR="00E62816" w:rsidRDefault="00E62816" w:rsidP="00E62816">
      <w:r>
        <w:tab/>
        <w:t xml:space="preserve">By comparison to state averages (median rate of HCV incidence in Mississippi is 100 per 100,000 population) the HCV incidence is </w:t>
      </w:r>
      <w:r>
        <w:t>Union</w:t>
      </w:r>
      <w:r>
        <w:t xml:space="preserve"> County is </w:t>
      </w:r>
      <w:r w:rsidR="00B364D1">
        <w:t>91%</w:t>
      </w:r>
      <w:r>
        <w:t xml:space="preserve"> as high.  The two indicators where </w:t>
      </w:r>
      <w:r>
        <w:t>Union</w:t>
      </w:r>
      <w:r>
        <w:t xml:space="preserve"> County has the greatest ranked vulnerability are income and drug </w:t>
      </w:r>
      <w:r w:rsidR="00B364D1">
        <w:t>deaths</w:t>
      </w:r>
      <w:bookmarkStart w:id="0" w:name="_GoBack"/>
      <w:bookmarkEnd w:id="0"/>
      <w:r>
        <w:t xml:space="preserve">.  By focusing on evidence-based programs that improve these indicators, </w:t>
      </w:r>
      <w:r>
        <w:t>Union</w:t>
      </w:r>
      <w:r>
        <w:t xml:space="preserve"> County’s HCV incidence would be expected to decrease toward the statewide median.</w:t>
      </w:r>
    </w:p>
    <w:p w14:paraId="42A39E79" w14:textId="02F122CA" w:rsidR="00E62816" w:rsidRDefault="00B364D1" w:rsidP="00E62816">
      <w:r>
        <w:rPr>
          <w:noProof/>
        </w:rPr>
        <w:drawing>
          <wp:inline distT="0" distB="0" distL="0" distR="0" wp14:anchorId="77D05674" wp14:editId="171E4059">
            <wp:extent cx="5943600" cy="42684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268470"/>
                    </a:xfrm>
                    <a:prstGeom prst="rect">
                      <a:avLst/>
                    </a:prstGeom>
                  </pic:spPr>
                </pic:pic>
              </a:graphicData>
            </a:graphic>
          </wp:inline>
        </w:drawing>
      </w:r>
    </w:p>
    <w:p w14:paraId="4124164F" w14:textId="77777777" w:rsidR="00D65E10" w:rsidRDefault="00D65E10" w:rsidP="0097651E"/>
    <w:sectPr w:rsidR="00D65E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27F"/>
    <w:rsid w:val="00087733"/>
    <w:rsid w:val="000A0B40"/>
    <w:rsid w:val="00141993"/>
    <w:rsid w:val="00236383"/>
    <w:rsid w:val="0032239F"/>
    <w:rsid w:val="0032327F"/>
    <w:rsid w:val="00422FAB"/>
    <w:rsid w:val="004C48ED"/>
    <w:rsid w:val="004D4B17"/>
    <w:rsid w:val="0051404B"/>
    <w:rsid w:val="00575A5E"/>
    <w:rsid w:val="005827DA"/>
    <w:rsid w:val="00603F10"/>
    <w:rsid w:val="0064115A"/>
    <w:rsid w:val="006A0015"/>
    <w:rsid w:val="008F4E69"/>
    <w:rsid w:val="0090492F"/>
    <w:rsid w:val="0097651E"/>
    <w:rsid w:val="00AC7C4F"/>
    <w:rsid w:val="00AE1A99"/>
    <w:rsid w:val="00B364D1"/>
    <w:rsid w:val="00B71D6E"/>
    <w:rsid w:val="00BF3B69"/>
    <w:rsid w:val="00CD0031"/>
    <w:rsid w:val="00D11B76"/>
    <w:rsid w:val="00D16EFF"/>
    <w:rsid w:val="00D43B6E"/>
    <w:rsid w:val="00D65E10"/>
    <w:rsid w:val="00D83F78"/>
    <w:rsid w:val="00DA6FA2"/>
    <w:rsid w:val="00DE332D"/>
    <w:rsid w:val="00E62816"/>
    <w:rsid w:val="00EA2554"/>
    <w:rsid w:val="00FE4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8097D"/>
  <w15:chartTrackingRefBased/>
  <w15:docId w15:val="{D549C9E4-E536-4200-A764-48863A024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2327F"/>
  </w:style>
  <w:style w:type="paragraph" w:styleId="Heading1">
    <w:name w:val="heading 1"/>
    <w:basedOn w:val="Normal"/>
    <w:next w:val="Normal"/>
    <w:link w:val="Heading1Char"/>
    <w:uiPriority w:val="9"/>
    <w:qFormat/>
    <w:rsid w:val="0032327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2327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232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32327F"/>
    <w:rPr>
      <w:rFonts w:asciiTheme="majorHAnsi" w:eastAsiaTheme="majorEastAsia" w:hAnsiTheme="majorHAnsi" w:cstheme="majorBidi"/>
      <w:color w:val="1F3763" w:themeColor="accent1" w:themeShade="7F"/>
      <w:sz w:val="24"/>
      <w:szCs w:val="24"/>
    </w:rPr>
  </w:style>
  <w:style w:type="paragraph" w:styleId="Caption">
    <w:name w:val="caption"/>
    <w:basedOn w:val="Normal"/>
    <w:next w:val="Normal"/>
    <w:uiPriority w:val="35"/>
    <w:unhideWhenUsed/>
    <w:qFormat/>
    <w:rsid w:val="0032327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7</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30</cp:revision>
  <dcterms:created xsi:type="dcterms:W3CDTF">2019-09-07T18:22:00Z</dcterms:created>
  <dcterms:modified xsi:type="dcterms:W3CDTF">2019-09-07T18:56:00Z</dcterms:modified>
</cp:coreProperties>
</file>