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C4386" w14:textId="3BC72C55" w:rsidR="0042530A" w:rsidRDefault="0042530A" w:rsidP="0042530A">
      <w:r>
        <w:tab/>
        <w:t>Jurisdiction Vulnerability Assessment</w:t>
      </w:r>
      <w:r w:rsidR="007C1790">
        <w:t>: Composite Index Score Approach</w:t>
      </w:r>
      <w:r>
        <w:t>:</w:t>
      </w:r>
    </w:p>
    <w:p w14:paraId="0D27151E" w14:textId="24189B55" w:rsidR="0042530A" w:rsidRDefault="0042530A" w:rsidP="0042530A">
      <w:r>
        <w:tab/>
      </w:r>
      <w:r w:rsidR="007C1790">
        <w:t xml:space="preserve">The Composite Index Score (CIS) approach for the </w:t>
      </w:r>
      <w:r>
        <w:t xml:space="preserve">Jurisdiction Vulnerability Assessment (JVA) uses methods similar to those developed for </w:t>
      </w:r>
      <w:r w:rsidR="007C1790">
        <w:t>t</w:t>
      </w:r>
      <w:r w:rsidRPr="001930A9">
        <w:t>he Social Vulnerability Index</w:t>
      </w:r>
      <w:r>
        <w:t xml:space="preserve"> (JVI)</w:t>
      </w:r>
      <w:r w:rsidRPr="001930A9">
        <w:t xml:space="preserve"> by the Geospatial Research, Analysis, and Services Program, (GRASP), </w:t>
      </w:r>
      <w:r>
        <w:t>which</w:t>
      </w:r>
      <w:r w:rsidRPr="001930A9">
        <w:t xml:space="preserve"> looks at the vulnerability of communities to disasters, such as earthquakes, hurricanes, and floods.  The mechanics behind jurisdiction vulnerability are similar, </w:t>
      </w:r>
      <w:r>
        <w:t xml:space="preserve">however, </w:t>
      </w:r>
      <w:r w:rsidR="007C1790">
        <w:t xml:space="preserve">CIS </w:t>
      </w:r>
      <w:r>
        <w:t xml:space="preserve">uses indicators selected by subject matters experts, in this case, indicators relating to intravenous drug use (IDU), which makes communities vulnerable for outbreaks of both Hepatitis C (Hep C), HIV infection and opioid overdose.  </w:t>
      </w:r>
      <w:r w:rsidR="007C1790">
        <w:t xml:space="preserve">CIS </w:t>
      </w:r>
      <w:r>
        <w:t xml:space="preserve">offers an indirect method of assessing risk for counties.  Van Handel </w:t>
      </w:r>
      <w:r w:rsidR="007C1790">
        <w:t>et al. (</w:t>
      </w:r>
      <w:r>
        <w:t>2016</w:t>
      </w:r>
      <w:r w:rsidR="007C1790">
        <w:t>)</w:t>
      </w:r>
      <w:r>
        <w:t xml:space="preserve"> found the following indicators for IDU vulnerability: d</w:t>
      </w:r>
      <w:r w:rsidRPr="00B37B1C">
        <w:t xml:space="preserve">rug overdose deaths, prescription opioid sales, per capita income, percent population white, unemployment and buprenorphine </w:t>
      </w:r>
      <w:r w:rsidR="007C1790">
        <w:t>prescription capacity</w:t>
      </w:r>
      <w:r w:rsidRPr="00B37B1C">
        <w:t>.</w:t>
      </w:r>
      <w:r>
        <w:t xml:space="preserve">  </w:t>
      </w:r>
      <w:r w:rsidR="007C1790">
        <w:t>Below we describe an example for</w:t>
      </w:r>
      <w:r>
        <w:t xml:space="preserve"> one state </w:t>
      </w:r>
      <w:r w:rsidR="007C1790">
        <w:t>using</w:t>
      </w:r>
      <w:r>
        <w:t xml:space="preserve"> data</w:t>
      </w:r>
      <w:r w:rsidR="007C1790">
        <w:t xml:space="preserve"> for</w:t>
      </w:r>
      <w:r>
        <w:t xml:space="preserve"> opioid prescriptions, drug arrests, drug overdose deaths, along with the ACS per capita income variable </w:t>
      </w:r>
      <w:r w:rsidR="007C1790">
        <w:t>to calculate the CIS</w:t>
      </w:r>
      <w:r>
        <w:t>.</w:t>
      </w:r>
    </w:p>
    <w:p w14:paraId="2F61E489" w14:textId="5F0BD7EE" w:rsidR="0042530A" w:rsidRPr="00B37B1C" w:rsidRDefault="0042530A" w:rsidP="0042530A">
      <w:r>
        <w:tab/>
      </w:r>
      <w:r w:rsidR="007C1790">
        <w:t xml:space="preserve">CIS </w:t>
      </w:r>
      <w:r>
        <w:t>uses the rankings of indicators within each jurisdiction to assess which counties (or other subdivisions) are most vulnerable to outbreaks associated with IDU.  The ranking method is less statistical but very adaptable and works well in applied situations.  In contrast, regression approaches (both Poisson and Negative Binomial) have more robust modeling and predictive power, at the cost of complexity, both for the modeler and for users of the model, such as local health departments and constituents at town hall meetings.</w:t>
      </w:r>
    </w:p>
    <w:p w14:paraId="59891DEE" w14:textId="6467AD4F" w:rsidR="0042530A" w:rsidRPr="006F14AE" w:rsidRDefault="007C1790" w:rsidP="0042530A">
      <w:pPr>
        <w:rPr>
          <w:b/>
        </w:rPr>
      </w:pPr>
      <w:r w:rsidRPr="006F14AE">
        <w:rPr>
          <w:b/>
        </w:rPr>
        <w:t>CIS</w:t>
      </w:r>
      <w:r w:rsidR="0042530A" w:rsidRPr="006F14AE">
        <w:rPr>
          <w:b/>
        </w:rPr>
        <w:t xml:space="preserve"> Example – Texas:</w:t>
      </w:r>
    </w:p>
    <w:p w14:paraId="7C4E1C35" w14:textId="11DD1606" w:rsidR="0042530A" w:rsidRDefault="0042530A" w:rsidP="0042530A">
      <w:r>
        <w:tab/>
        <w:t xml:space="preserve">We will use Texas as an example of how to perform a </w:t>
      </w:r>
      <w:r w:rsidR="007C1790">
        <w:t>CIS</w:t>
      </w:r>
      <w:r>
        <w:t>.  For this example, we used the following category / indicator pairs, based on public</w:t>
      </w:r>
      <w:r w:rsidR="007C1790">
        <w:t>ly</w:t>
      </w:r>
      <w:r>
        <w:t xml:space="preserve"> available data:</w:t>
      </w:r>
    </w:p>
    <w:p w14:paraId="5B9D1AE8" w14:textId="77777777" w:rsidR="0042530A" w:rsidRPr="008B552A" w:rsidRDefault="0042530A" w:rsidP="0042530A">
      <w:pPr>
        <w:numPr>
          <w:ilvl w:val="1"/>
          <w:numId w:val="1"/>
        </w:numPr>
      </w:pPr>
      <w:r w:rsidRPr="008B552A">
        <w:t>Socioeconomics: Per Capita Income (2013-2017 American Community Survey)</w:t>
      </w:r>
    </w:p>
    <w:p w14:paraId="351E27A6" w14:textId="77777777" w:rsidR="0042530A" w:rsidRPr="008B552A" w:rsidRDefault="0042530A" w:rsidP="0042530A">
      <w:pPr>
        <w:numPr>
          <w:ilvl w:val="1"/>
          <w:numId w:val="1"/>
        </w:numPr>
      </w:pPr>
      <w:r w:rsidRPr="008B552A">
        <w:t>Crime: Drug Arrest Rate (Uniform Crime Reporting Program Data, 2016)</w:t>
      </w:r>
    </w:p>
    <w:p w14:paraId="60E3DE53" w14:textId="77777777" w:rsidR="0042530A" w:rsidRPr="008B552A" w:rsidRDefault="0042530A" w:rsidP="0042530A">
      <w:pPr>
        <w:numPr>
          <w:ilvl w:val="1"/>
          <w:numId w:val="1"/>
        </w:numPr>
      </w:pPr>
      <w:r w:rsidRPr="008B552A">
        <w:t>Prescriptions: IQVIA Xponent (Per 100 Capita Prescriptions, 2017)</w:t>
      </w:r>
    </w:p>
    <w:p w14:paraId="20D4F9E2" w14:textId="77777777" w:rsidR="0042530A" w:rsidRPr="008B552A" w:rsidRDefault="0042530A" w:rsidP="0042530A">
      <w:pPr>
        <w:numPr>
          <w:ilvl w:val="1"/>
          <w:numId w:val="1"/>
        </w:numPr>
      </w:pPr>
      <w:r w:rsidRPr="008B552A">
        <w:t>Mortality: Drug Overdose Rate (CDC Wonder, 2013-2017)</w:t>
      </w:r>
    </w:p>
    <w:p w14:paraId="258323E0" w14:textId="69A2A990" w:rsidR="0042530A" w:rsidRDefault="0042530A" w:rsidP="0042530A">
      <w:pPr>
        <w:ind w:firstLine="720"/>
      </w:pPr>
      <w:r>
        <w:t xml:space="preserve">To handle missing data and zeros, we made the following assumptions.  We assumed that zero values were a legitimate reflection of zero events and assigned the statewide median for missing (N/A) values, as a simple form of imputation.  We ranked each indicator among the 254 counties of Texas, with a “higher is worse” categorization (see Table X).  We then took the average of the four ranks to </w:t>
      </w:r>
      <w:r w:rsidR="007C1790">
        <w:t>calculate the CIS</w:t>
      </w:r>
      <w:r>
        <w:t xml:space="preserve"> for each county in Texas.  Analysis was performed using widely available spreadsheet software (Microsoft Excel).</w:t>
      </w:r>
    </w:p>
    <w:p w14:paraId="33041ADF" w14:textId="77777777" w:rsidR="0042530A" w:rsidRDefault="0042530A" w:rsidP="0042530A">
      <w:pPr>
        <w:pStyle w:val="Caption"/>
        <w:keepNext/>
      </w:pPr>
      <w:r>
        <w:t xml:space="preserve">Table </w:t>
      </w:r>
      <w:fldSimple w:instr=" SEQ Table \* ARABIC ">
        <w:r>
          <w:rPr>
            <w:noProof/>
          </w:rPr>
          <w:t>1</w:t>
        </w:r>
      </w:fldSimple>
      <w:r>
        <w:t>. Select Indicators, Texas</w:t>
      </w:r>
    </w:p>
    <w:tbl>
      <w:tblPr>
        <w:tblW w:w="0" w:type="auto"/>
        <w:tblLayout w:type="fixed"/>
        <w:tblCellMar>
          <w:left w:w="0" w:type="dxa"/>
          <w:right w:w="0" w:type="dxa"/>
        </w:tblCellMar>
        <w:tblLook w:val="0600" w:firstRow="0" w:lastRow="0" w:firstColumn="0" w:lastColumn="0" w:noHBand="1" w:noVBand="1"/>
      </w:tblPr>
      <w:tblGrid>
        <w:gridCol w:w="1516"/>
        <w:gridCol w:w="1364"/>
        <w:gridCol w:w="1963"/>
        <w:gridCol w:w="1882"/>
        <w:gridCol w:w="1649"/>
        <w:gridCol w:w="966"/>
      </w:tblGrid>
      <w:tr w:rsidR="0042530A" w:rsidRPr="007C1790" w14:paraId="7E55C273" w14:textId="77777777" w:rsidTr="006F14AE">
        <w:trPr>
          <w:trHeight w:val="580"/>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3F87B654" w14:textId="77777777" w:rsidR="0042530A" w:rsidRPr="006F14AE" w:rsidRDefault="0042530A" w:rsidP="006F14AE">
            <w:pPr>
              <w:spacing w:after="0" w:line="240" w:lineRule="auto"/>
              <w:rPr>
                <w:rFonts w:cstheme="minorHAnsi"/>
                <w:szCs w:val="24"/>
              </w:rPr>
            </w:pPr>
            <w:r w:rsidRPr="006F14AE">
              <w:rPr>
                <w:rFonts w:cstheme="minorHAnsi"/>
                <w:szCs w:val="24"/>
              </w:rPr>
              <w:t>Geography</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546A7BC6" w14:textId="35E58EAD" w:rsidR="0042530A" w:rsidRPr="006F14AE" w:rsidRDefault="00053F47" w:rsidP="006F14AE">
            <w:pPr>
              <w:spacing w:after="0" w:line="240" w:lineRule="auto"/>
              <w:rPr>
                <w:rFonts w:cstheme="minorHAnsi"/>
                <w:szCs w:val="24"/>
              </w:rPr>
            </w:pPr>
            <w:r w:rsidRPr="006F14AE">
              <w:rPr>
                <w:rFonts w:cstheme="minorHAnsi"/>
                <w:szCs w:val="24"/>
              </w:rPr>
              <w:t>Drug Arrests (Rate, Rank)</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141B2ACE" w14:textId="32A073CB" w:rsidR="0042530A" w:rsidRPr="006F14AE" w:rsidRDefault="00320DAC" w:rsidP="006F14AE">
            <w:pPr>
              <w:spacing w:after="0" w:line="240" w:lineRule="auto"/>
              <w:rPr>
                <w:rFonts w:cstheme="minorHAnsi"/>
                <w:szCs w:val="24"/>
              </w:rPr>
            </w:pPr>
            <w:r w:rsidRPr="006F14AE">
              <w:rPr>
                <w:rFonts w:cstheme="minorHAnsi"/>
                <w:szCs w:val="24"/>
              </w:rPr>
              <w:t>Opioid Prescri</w:t>
            </w:r>
            <w:r w:rsidR="00522409" w:rsidRPr="006F14AE">
              <w:rPr>
                <w:rFonts w:cstheme="minorHAnsi"/>
                <w:szCs w:val="24"/>
              </w:rPr>
              <w:t>ptions (Rate, Rank)</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7145EC70" w14:textId="4529727E" w:rsidR="0042530A" w:rsidRPr="006F14AE" w:rsidRDefault="00522409" w:rsidP="006F14AE">
            <w:pPr>
              <w:spacing w:after="0" w:line="240" w:lineRule="auto"/>
              <w:rPr>
                <w:rFonts w:cstheme="minorHAnsi"/>
                <w:szCs w:val="24"/>
              </w:rPr>
            </w:pPr>
            <w:r w:rsidRPr="006F14AE">
              <w:rPr>
                <w:rFonts w:cstheme="minorHAnsi"/>
                <w:szCs w:val="24"/>
              </w:rPr>
              <w:t xml:space="preserve">Drug </w:t>
            </w:r>
            <w:r w:rsidR="00D02082" w:rsidRPr="006F14AE">
              <w:rPr>
                <w:rFonts w:cstheme="minorHAnsi"/>
                <w:szCs w:val="24"/>
              </w:rPr>
              <w:t xml:space="preserve">Overdose Deaths </w:t>
            </w:r>
            <w:r w:rsidRPr="006F14AE">
              <w:rPr>
                <w:rFonts w:cstheme="minorHAnsi"/>
                <w:szCs w:val="24"/>
              </w:rPr>
              <w:t>(Rate, Rank)</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228C6918" w14:textId="651585EB" w:rsidR="0042530A" w:rsidRPr="006F14AE" w:rsidRDefault="00D02082" w:rsidP="006F14AE">
            <w:pPr>
              <w:spacing w:after="0" w:line="240" w:lineRule="auto"/>
              <w:rPr>
                <w:rFonts w:cstheme="minorHAnsi"/>
                <w:szCs w:val="24"/>
              </w:rPr>
            </w:pPr>
            <w:r w:rsidRPr="006F14AE">
              <w:rPr>
                <w:rFonts w:cstheme="minorHAnsi"/>
                <w:szCs w:val="24"/>
              </w:rPr>
              <w:t>Per Capita Income (Value, Rank)</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7FA8807A" w14:textId="55198B35" w:rsidR="0042530A" w:rsidRPr="006F14AE" w:rsidRDefault="00D02082" w:rsidP="006F14AE">
            <w:pPr>
              <w:spacing w:after="0" w:line="240" w:lineRule="auto"/>
              <w:rPr>
                <w:rFonts w:cstheme="minorHAnsi"/>
                <w:szCs w:val="24"/>
              </w:rPr>
            </w:pPr>
            <w:r w:rsidRPr="006F14AE">
              <w:rPr>
                <w:rFonts w:cstheme="minorHAnsi"/>
                <w:szCs w:val="24"/>
              </w:rPr>
              <w:t>Average Rank</w:t>
            </w:r>
          </w:p>
        </w:tc>
      </w:tr>
      <w:tr w:rsidR="0042530A" w:rsidRPr="007C1790" w14:paraId="677506D7" w14:textId="77777777" w:rsidTr="006F14AE">
        <w:trPr>
          <w:trHeight w:val="253"/>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3B11B8FA" w14:textId="77777777" w:rsidR="0042530A" w:rsidRPr="006F14AE" w:rsidRDefault="0042530A" w:rsidP="006F14AE">
            <w:pPr>
              <w:spacing w:after="0" w:line="240" w:lineRule="auto"/>
              <w:rPr>
                <w:rFonts w:cstheme="minorHAnsi"/>
                <w:szCs w:val="24"/>
              </w:rPr>
            </w:pPr>
            <w:r w:rsidRPr="006F14AE">
              <w:rPr>
                <w:rFonts w:cstheme="minorHAnsi"/>
                <w:szCs w:val="24"/>
              </w:rPr>
              <w:lastRenderedPageBreak/>
              <w:t>Anderson County, Texas</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31F22AC2" w14:textId="39BBFEB4" w:rsidR="0042530A" w:rsidRPr="006F14AE" w:rsidRDefault="004F2899" w:rsidP="006F14AE">
            <w:pPr>
              <w:spacing w:after="0" w:line="240" w:lineRule="auto"/>
              <w:jc w:val="both"/>
              <w:rPr>
                <w:rFonts w:cstheme="minorHAnsi"/>
                <w:szCs w:val="24"/>
              </w:rPr>
            </w:pPr>
            <w:r w:rsidRPr="006F14AE">
              <w:rPr>
                <w:rFonts w:cstheme="minorHAnsi"/>
                <w:szCs w:val="24"/>
              </w:rPr>
              <w:t>45.1</w:t>
            </w:r>
            <w:r w:rsidR="00A34B44" w:rsidRPr="006F14AE">
              <w:rPr>
                <w:rFonts w:cstheme="minorHAnsi"/>
                <w:szCs w:val="24"/>
              </w:rPr>
              <w:t xml:space="preserve"> (110)</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325F2972" w14:textId="772E66EF" w:rsidR="0042530A" w:rsidRPr="006F14AE" w:rsidRDefault="00E97839" w:rsidP="006F14AE">
            <w:pPr>
              <w:spacing w:after="0" w:line="240" w:lineRule="auto"/>
              <w:jc w:val="both"/>
              <w:rPr>
                <w:rFonts w:cstheme="minorHAnsi"/>
                <w:szCs w:val="24"/>
              </w:rPr>
            </w:pPr>
            <w:r w:rsidRPr="006F14AE">
              <w:rPr>
                <w:rFonts w:cstheme="minorHAnsi"/>
                <w:szCs w:val="24"/>
              </w:rPr>
              <w:t>62.2</w:t>
            </w:r>
            <w:r w:rsidR="008C4232" w:rsidRPr="006F14AE">
              <w:rPr>
                <w:rFonts w:cstheme="minorHAnsi"/>
                <w:szCs w:val="24"/>
              </w:rPr>
              <w:t xml:space="preserve"> (168)</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07C5D382" w14:textId="10F7C228" w:rsidR="0042530A" w:rsidRPr="006F14AE" w:rsidRDefault="00BF2B93" w:rsidP="006F14AE">
            <w:pPr>
              <w:spacing w:after="0" w:line="240" w:lineRule="auto"/>
              <w:jc w:val="both"/>
              <w:rPr>
                <w:rFonts w:cstheme="minorHAnsi"/>
                <w:szCs w:val="24"/>
              </w:rPr>
            </w:pPr>
            <w:r w:rsidRPr="006F14AE">
              <w:rPr>
                <w:rFonts w:cstheme="minorHAnsi"/>
                <w:szCs w:val="24"/>
              </w:rPr>
              <w:t>14.</w:t>
            </w:r>
            <w:r w:rsidR="00E605D5" w:rsidRPr="006F14AE">
              <w:rPr>
                <w:rFonts w:cstheme="minorHAnsi"/>
                <w:szCs w:val="24"/>
              </w:rPr>
              <w:t>9</w:t>
            </w:r>
            <w:r w:rsidR="00A92DF0" w:rsidRPr="006F14AE">
              <w:rPr>
                <w:rFonts w:cstheme="minorHAnsi"/>
                <w:szCs w:val="24"/>
              </w:rPr>
              <w:t xml:space="preserve"> (227)</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B4FD494" w14:textId="23AE7547" w:rsidR="0042530A" w:rsidRPr="006F14AE" w:rsidRDefault="00743B89" w:rsidP="006F14AE">
            <w:pPr>
              <w:spacing w:after="0" w:line="240" w:lineRule="auto"/>
              <w:jc w:val="both"/>
              <w:rPr>
                <w:rFonts w:cstheme="minorHAnsi"/>
                <w:szCs w:val="24"/>
              </w:rPr>
            </w:pPr>
            <w:r w:rsidRPr="006F14AE">
              <w:rPr>
                <w:rFonts w:cstheme="minorHAnsi"/>
                <w:szCs w:val="24"/>
              </w:rPr>
              <w:t>17466</w:t>
            </w:r>
            <w:r w:rsidR="00A92DF0" w:rsidRPr="006F14AE">
              <w:rPr>
                <w:rFonts w:cstheme="minorHAnsi"/>
                <w:szCs w:val="24"/>
              </w:rPr>
              <w:t xml:space="preserve"> (239)</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509B0E00" w14:textId="3F0F3DC2" w:rsidR="0042530A" w:rsidRPr="006F14AE" w:rsidRDefault="005B594B" w:rsidP="006F14AE">
            <w:pPr>
              <w:spacing w:after="0" w:line="240" w:lineRule="auto"/>
              <w:jc w:val="both"/>
              <w:rPr>
                <w:rFonts w:cstheme="minorHAnsi"/>
                <w:szCs w:val="24"/>
              </w:rPr>
            </w:pPr>
            <w:r w:rsidRPr="006F14AE">
              <w:rPr>
                <w:rFonts w:cstheme="minorHAnsi"/>
                <w:szCs w:val="24"/>
              </w:rPr>
              <w:t>186</w:t>
            </w:r>
          </w:p>
        </w:tc>
      </w:tr>
      <w:tr w:rsidR="0042530A" w:rsidRPr="007C1790" w14:paraId="2764665E" w14:textId="77777777" w:rsidTr="006F14AE">
        <w:trPr>
          <w:trHeight w:val="253"/>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0F945514" w14:textId="77777777" w:rsidR="0042530A" w:rsidRPr="006F14AE" w:rsidRDefault="0042530A" w:rsidP="006F14AE">
            <w:pPr>
              <w:spacing w:after="0" w:line="240" w:lineRule="auto"/>
              <w:rPr>
                <w:rFonts w:cstheme="minorHAnsi"/>
                <w:szCs w:val="24"/>
              </w:rPr>
            </w:pPr>
            <w:r w:rsidRPr="006F14AE">
              <w:rPr>
                <w:rFonts w:cstheme="minorHAnsi"/>
                <w:szCs w:val="24"/>
              </w:rPr>
              <w:t>Andrews County, Texas</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890941E" w14:textId="7332FEB8" w:rsidR="0042530A" w:rsidRPr="006F14AE" w:rsidRDefault="00C94256" w:rsidP="006F14AE">
            <w:pPr>
              <w:spacing w:after="0" w:line="240" w:lineRule="auto"/>
              <w:jc w:val="both"/>
              <w:rPr>
                <w:rFonts w:cstheme="minorHAnsi"/>
                <w:szCs w:val="24"/>
              </w:rPr>
            </w:pPr>
            <w:r w:rsidRPr="006F14AE">
              <w:rPr>
                <w:rFonts w:cstheme="minorHAnsi"/>
                <w:szCs w:val="24"/>
              </w:rPr>
              <w:t>53.8</w:t>
            </w:r>
            <w:r w:rsidR="005B594B" w:rsidRPr="006F14AE">
              <w:rPr>
                <w:rFonts w:cstheme="minorHAnsi"/>
                <w:szCs w:val="24"/>
              </w:rPr>
              <w:t xml:space="preserve"> (140)</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6D8F110C" w14:textId="078C2956" w:rsidR="0042530A" w:rsidRPr="006F14AE" w:rsidRDefault="00E97839" w:rsidP="006F14AE">
            <w:pPr>
              <w:spacing w:after="0" w:line="240" w:lineRule="auto"/>
              <w:jc w:val="both"/>
              <w:rPr>
                <w:rFonts w:cstheme="minorHAnsi"/>
                <w:szCs w:val="24"/>
              </w:rPr>
            </w:pPr>
            <w:r w:rsidRPr="006F14AE">
              <w:rPr>
                <w:rFonts w:cstheme="minorHAnsi"/>
                <w:szCs w:val="24"/>
              </w:rPr>
              <w:t>52.5</w:t>
            </w:r>
            <w:r w:rsidR="008C4232" w:rsidRPr="006F14AE">
              <w:rPr>
                <w:rFonts w:cstheme="minorHAnsi"/>
                <w:szCs w:val="24"/>
              </w:rPr>
              <w:t xml:space="preserve"> (</w:t>
            </w:r>
            <w:r w:rsidR="0039333D" w:rsidRPr="006F14AE">
              <w:rPr>
                <w:rFonts w:cstheme="minorHAnsi"/>
                <w:szCs w:val="24"/>
              </w:rPr>
              <w:t>96)</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248DE482" w14:textId="6CD494AC" w:rsidR="0042530A" w:rsidRPr="006F14AE" w:rsidRDefault="00E605D5" w:rsidP="006F14AE">
            <w:pPr>
              <w:spacing w:after="0" w:line="240" w:lineRule="auto"/>
              <w:jc w:val="both"/>
              <w:rPr>
                <w:rFonts w:cstheme="minorHAnsi"/>
                <w:szCs w:val="24"/>
              </w:rPr>
            </w:pPr>
            <w:r w:rsidRPr="006F14AE">
              <w:rPr>
                <w:rFonts w:cstheme="minorHAnsi"/>
                <w:szCs w:val="24"/>
              </w:rPr>
              <w:t>10.9</w:t>
            </w:r>
            <w:r w:rsidR="00A92DF0" w:rsidRPr="006F14AE">
              <w:rPr>
                <w:rFonts w:cstheme="minorHAnsi"/>
                <w:szCs w:val="24"/>
              </w:rPr>
              <w:t xml:space="preserve"> (62)</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72841F79" w14:textId="43B6721D" w:rsidR="0042530A" w:rsidRPr="006F14AE" w:rsidRDefault="00743B89" w:rsidP="006F14AE">
            <w:pPr>
              <w:spacing w:after="0" w:line="240" w:lineRule="auto"/>
              <w:jc w:val="both"/>
              <w:rPr>
                <w:rFonts w:cstheme="minorHAnsi"/>
                <w:szCs w:val="24"/>
              </w:rPr>
            </w:pPr>
            <w:r w:rsidRPr="006F14AE">
              <w:rPr>
                <w:rFonts w:cstheme="minorHAnsi"/>
                <w:szCs w:val="24"/>
              </w:rPr>
              <w:t>29903</w:t>
            </w:r>
            <w:r w:rsidR="00A92DF0" w:rsidRPr="006F14AE">
              <w:rPr>
                <w:rFonts w:cstheme="minorHAnsi"/>
                <w:szCs w:val="24"/>
              </w:rPr>
              <w:t xml:space="preserve"> (40)</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51B85367" w14:textId="42DCA3B7" w:rsidR="0042530A" w:rsidRPr="006F14AE" w:rsidRDefault="005B594B" w:rsidP="006F14AE">
            <w:pPr>
              <w:spacing w:after="0" w:line="240" w:lineRule="auto"/>
              <w:jc w:val="both"/>
              <w:rPr>
                <w:rFonts w:cstheme="minorHAnsi"/>
                <w:szCs w:val="24"/>
              </w:rPr>
            </w:pPr>
            <w:r w:rsidRPr="006F14AE">
              <w:rPr>
                <w:rFonts w:cstheme="minorHAnsi"/>
                <w:szCs w:val="24"/>
              </w:rPr>
              <w:t>84.5</w:t>
            </w:r>
          </w:p>
        </w:tc>
      </w:tr>
      <w:tr w:rsidR="0042530A" w:rsidRPr="007C1790" w14:paraId="010300DD" w14:textId="77777777" w:rsidTr="006F14AE">
        <w:trPr>
          <w:trHeight w:val="253"/>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51B7F6B8" w14:textId="77777777" w:rsidR="0042530A" w:rsidRPr="006F14AE" w:rsidRDefault="0042530A" w:rsidP="006F14AE">
            <w:pPr>
              <w:spacing w:after="0" w:line="240" w:lineRule="auto"/>
              <w:rPr>
                <w:rFonts w:cstheme="minorHAnsi"/>
                <w:szCs w:val="24"/>
              </w:rPr>
            </w:pPr>
            <w:r w:rsidRPr="006F14AE">
              <w:rPr>
                <w:rFonts w:cstheme="minorHAnsi"/>
                <w:szCs w:val="24"/>
              </w:rPr>
              <w:t>Angelina County, Texas</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1980D121" w14:textId="1FDD9D3A" w:rsidR="0042530A" w:rsidRPr="006F14AE" w:rsidRDefault="00F573F9" w:rsidP="006F14AE">
            <w:pPr>
              <w:spacing w:after="0" w:line="240" w:lineRule="auto"/>
              <w:jc w:val="both"/>
              <w:rPr>
                <w:rFonts w:cstheme="minorHAnsi"/>
                <w:szCs w:val="24"/>
              </w:rPr>
            </w:pPr>
            <w:r w:rsidRPr="006F14AE">
              <w:rPr>
                <w:rFonts w:cstheme="minorHAnsi"/>
                <w:szCs w:val="24"/>
              </w:rPr>
              <w:t>41.9</w:t>
            </w:r>
            <w:r w:rsidR="005B594B" w:rsidRPr="006F14AE">
              <w:rPr>
                <w:rFonts w:cstheme="minorHAnsi"/>
                <w:szCs w:val="24"/>
              </w:rPr>
              <w:t xml:space="preserve"> (91)</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7DE3A21F" w14:textId="27861E00" w:rsidR="0042530A" w:rsidRPr="006F14AE" w:rsidRDefault="00E97839" w:rsidP="006F14AE">
            <w:pPr>
              <w:spacing w:after="0" w:line="240" w:lineRule="auto"/>
              <w:jc w:val="both"/>
              <w:rPr>
                <w:rFonts w:cstheme="minorHAnsi"/>
                <w:szCs w:val="24"/>
              </w:rPr>
            </w:pPr>
            <w:r w:rsidRPr="006F14AE">
              <w:rPr>
                <w:rFonts w:cstheme="minorHAnsi"/>
                <w:szCs w:val="24"/>
              </w:rPr>
              <w:t>88.7</w:t>
            </w:r>
            <w:r w:rsidR="0039333D" w:rsidRPr="006F14AE">
              <w:rPr>
                <w:rFonts w:cstheme="minorHAnsi"/>
                <w:szCs w:val="24"/>
              </w:rPr>
              <w:t xml:space="preserve"> (233)</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20CF75E0" w14:textId="04F1DC34" w:rsidR="0042530A" w:rsidRPr="006F14AE" w:rsidRDefault="00E605D5" w:rsidP="006F14AE">
            <w:pPr>
              <w:spacing w:after="0" w:line="240" w:lineRule="auto"/>
              <w:jc w:val="both"/>
              <w:rPr>
                <w:rFonts w:cstheme="minorHAnsi"/>
                <w:szCs w:val="24"/>
              </w:rPr>
            </w:pPr>
            <w:r w:rsidRPr="006F14AE">
              <w:rPr>
                <w:rFonts w:cstheme="minorHAnsi"/>
                <w:szCs w:val="24"/>
              </w:rPr>
              <w:t>10.5</w:t>
            </w:r>
            <w:r w:rsidR="00A92DF0" w:rsidRPr="006F14AE">
              <w:rPr>
                <w:rFonts w:cstheme="minorHAnsi"/>
                <w:szCs w:val="24"/>
              </w:rPr>
              <w:t xml:space="preserve"> (53)</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51E9DA88" w14:textId="270E535A" w:rsidR="0042530A" w:rsidRPr="006F14AE" w:rsidRDefault="00294813" w:rsidP="006F14AE">
            <w:pPr>
              <w:spacing w:after="0" w:line="240" w:lineRule="auto"/>
              <w:jc w:val="both"/>
              <w:rPr>
                <w:rFonts w:cstheme="minorHAnsi"/>
                <w:szCs w:val="24"/>
              </w:rPr>
            </w:pPr>
            <w:r w:rsidRPr="006F14AE">
              <w:rPr>
                <w:rFonts w:cstheme="minorHAnsi"/>
                <w:szCs w:val="24"/>
              </w:rPr>
              <w:t>21974</w:t>
            </w:r>
            <w:r w:rsidR="00A92DF0" w:rsidRPr="006F14AE">
              <w:rPr>
                <w:rFonts w:cstheme="minorHAnsi"/>
                <w:szCs w:val="24"/>
              </w:rPr>
              <w:t xml:space="preserve"> (182)</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13716A2D" w14:textId="5E44E071" w:rsidR="0042530A" w:rsidRPr="006F14AE" w:rsidRDefault="005B594B" w:rsidP="006F14AE">
            <w:pPr>
              <w:spacing w:after="0" w:line="240" w:lineRule="auto"/>
              <w:jc w:val="both"/>
              <w:rPr>
                <w:rFonts w:cstheme="minorHAnsi"/>
                <w:szCs w:val="24"/>
              </w:rPr>
            </w:pPr>
            <w:r w:rsidRPr="006F14AE">
              <w:rPr>
                <w:rFonts w:cstheme="minorHAnsi"/>
                <w:szCs w:val="24"/>
              </w:rPr>
              <w:t>139.75</w:t>
            </w:r>
          </w:p>
        </w:tc>
      </w:tr>
      <w:tr w:rsidR="0042530A" w:rsidRPr="007C1790" w14:paraId="14F63988" w14:textId="77777777" w:rsidTr="006F14AE">
        <w:trPr>
          <w:trHeight w:val="253"/>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6B44E0D2" w14:textId="77777777" w:rsidR="0042530A" w:rsidRPr="006F14AE" w:rsidRDefault="0042530A" w:rsidP="006F14AE">
            <w:pPr>
              <w:spacing w:after="0" w:line="240" w:lineRule="auto"/>
              <w:rPr>
                <w:rFonts w:cstheme="minorHAnsi"/>
                <w:szCs w:val="24"/>
              </w:rPr>
            </w:pPr>
            <w:r w:rsidRPr="006F14AE">
              <w:rPr>
                <w:rFonts w:cstheme="minorHAnsi"/>
                <w:szCs w:val="24"/>
              </w:rPr>
              <w:t>Aransas County, Texas</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C71BD85" w14:textId="6C89F431" w:rsidR="0042530A" w:rsidRPr="006F14AE" w:rsidRDefault="00F573F9" w:rsidP="006F14AE">
            <w:pPr>
              <w:spacing w:after="0" w:line="240" w:lineRule="auto"/>
              <w:jc w:val="both"/>
              <w:rPr>
                <w:rFonts w:cstheme="minorHAnsi"/>
                <w:szCs w:val="24"/>
              </w:rPr>
            </w:pPr>
            <w:r w:rsidRPr="006F14AE">
              <w:rPr>
                <w:rFonts w:cstheme="minorHAnsi"/>
                <w:szCs w:val="24"/>
              </w:rPr>
              <w:t>141.6</w:t>
            </w:r>
            <w:r w:rsidR="005B594B" w:rsidRPr="006F14AE">
              <w:rPr>
                <w:rFonts w:cstheme="minorHAnsi"/>
                <w:szCs w:val="24"/>
              </w:rPr>
              <w:t xml:space="preserve"> (248)</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280659E" w14:textId="5893E654" w:rsidR="0042530A" w:rsidRPr="006F14AE" w:rsidRDefault="00E97839" w:rsidP="006F14AE">
            <w:pPr>
              <w:spacing w:after="0" w:line="240" w:lineRule="auto"/>
              <w:jc w:val="both"/>
              <w:rPr>
                <w:rFonts w:cstheme="minorHAnsi"/>
                <w:szCs w:val="24"/>
              </w:rPr>
            </w:pPr>
            <w:r w:rsidRPr="006F14AE">
              <w:rPr>
                <w:rFonts w:cstheme="minorHAnsi"/>
                <w:szCs w:val="24"/>
              </w:rPr>
              <w:t>83.0</w:t>
            </w:r>
            <w:r w:rsidR="0039333D" w:rsidRPr="006F14AE">
              <w:rPr>
                <w:rFonts w:cstheme="minorHAnsi"/>
                <w:szCs w:val="24"/>
              </w:rPr>
              <w:t xml:space="preserve"> (</w:t>
            </w:r>
            <w:r w:rsidR="00A92DF0" w:rsidRPr="006F14AE">
              <w:rPr>
                <w:rFonts w:cstheme="minorHAnsi"/>
                <w:szCs w:val="24"/>
              </w:rPr>
              <w:t>222)</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52C7311E" w14:textId="7393C768" w:rsidR="0042530A" w:rsidRPr="006F14AE" w:rsidRDefault="00E605D5" w:rsidP="006F14AE">
            <w:pPr>
              <w:spacing w:after="0" w:line="240" w:lineRule="auto"/>
              <w:jc w:val="both"/>
              <w:rPr>
                <w:rFonts w:cstheme="minorHAnsi"/>
                <w:szCs w:val="24"/>
              </w:rPr>
            </w:pPr>
            <w:r w:rsidRPr="006F14AE">
              <w:rPr>
                <w:rFonts w:cstheme="minorHAnsi"/>
                <w:szCs w:val="24"/>
              </w:rPr>
              <w:t>20.6</w:t>
            </w:r>
            <w:r w:rsidR="00A92DF0" w:rsidRPr="006F14AE">
              <w:rPr>
                <w:rFonts w:cstheme="minorHAnsi"/>
                <w:szCs w:val="24"/>
              </w:rPr>
              <w:t xml:space="preserve"> (250)</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3EB43A1E" w14:textId="5E0C1F24" w:rsidR="0042530A" w:rsidRPr="006F14AE" w:rsidRDefault="00BE21E9" w:rsidP="006F14AE">
            <w:pPr>
              <w:spacing w:after="0" w:line="240" w:lineRule="auto"/>
              <w:jc w:val="both"/>
              <w:rPr>
                <w:rFonts w:cstheme="minorHAnsi"/>
                <w:szCs w:val="24"/>
              </w:rPr>
            </w:pPr>
            <w:r w:rsidRPr="006F14AE">
              <w:rPr>
                <w:rFonts w:cstheme="minorHAnsi"/>
                <w:szCs w:val="24"/>
              </w:rPr>
              <w:t>29999</w:t>
            </w:r>
            <w:r w:rsidR="00A92DF0" w:rsidRPr="006F14AE">
              <w:rPr>
                <w:rFonts w:cstheme="minorHAnsi"/>
                <w:szCs w:val="24"/>
              </w:rPr>
              <w:t xml:space="preserve"> (36)</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23267228" w14:textId="41F4E377" w:rsidR="0042530A" w:rsidRPr="006F14AE" w:rsidRDefault="005B594B" w:rsidP="006F14AE">
            <w:pPr>
              <w:spacing w:after="0" w:line="240" w:lineRule="auto"/>
              <w:jc w:val="both"/>
              <w:rPr>
                <w:rFonts w:cstheme="minorHAnsi"/>
                <w:szCs w:val="24"/>
              </w:rPr>
            </w:pPr>
            <w:r w:rsidRPr="006F14AE">
              <w:rPr>
                <w:rFonts w:cstheme="minorHAnsi"/>
                <w:szCs w:val="24"/>
              </w:rPr>
              <w:t>189</w:t>
            </w:r>
          </w:p>
        </w:tc>
      </w:tr>
      <w:tr w:rsidR="0042530A" w:rsidRPr="007C1790" w14:paraId="5DE53B59" w14:textId="77777777" w:rsidTr="006F14AE">
        <w:trPr>
          <w:trHeight w:val="253"/>
        </w:trPr>
        <w:tc>
          <w:tcPr>
            <w:tcW w:w="151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hideMark/>
          </w:tcPr>
          <w:p w14:paraId="4509D772" w14:textId="77777777" w:rsidR="0042530A" w:rsidRPr="006F14AE" w:rsidRDefault="0042530A" w:rsidP="006F14AE">
            <w:pPr>
              <w:spacing w:after="0" w:line="240" w:lineRule="auto"/>
              <w:rPr>
                <w:rFonts w:cstheme="minorHAnsi"/>
                <w:szCs w:val="24"/>
              </w:rPr>
            </w:pPr>
            <w:r w:rsidRPr="006F14AE">
              <w:rPr>
                <w:rFonts w:cstheme="minorHAnsi"/>
                <w:szCs w:val="24"/>
              </w:rPr>
              <w:t>Archer County, Texas</w:t>
            </w:r>
          </w:p>
        </w:tc>
        <w:tc>
          <w:tcPr>
            <w:tcW w:w="1364"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259AFD5E" w14:textId="77ABE625" w:rsidR="0042530A" w:rsidRPr="006F14AE" w:rsidRDefault="00F573F9" w:rsidP="006F14AE">
            <w:pPr>
              <w:spacing w:after="0" w:line="240" w:lineRule="auto"/>
              <w:jc w:val="both"/>
              <w:rPr>
                <w:rFonts w:cstheme="minorHAnsi"/>
                <w:szCs w:val="24"/>
              </w:rPr>
            </w:pPr>
            <w:r w:rsidRPr="006F14AE">
              <w:rPr>
                <w:rFonts w:cstheme="minorHAnsi"/>
                <w:szCs w:val="24"/>
              </w:rPr>
              <w:t>53.1</w:t>
            </w:r>
            <w:r w:rsidR="005B594B" w:rsidRPr="006F14AE">
              <w:rPr>
                <w:rFonts w:cstheme="minorHAnsi"/>
                <w:szCs w:val="24"/>
              </w:rPr>
              <w:t xml:space="preserve"> (</w:t>
            </w:r>
            <w:r w:rsidR="008C4232" w:rsidRPr="006F14AE">
              <w:rPr>
                <w:rFonts w:cstheme="minorHAnsi"/>
                <w:szCs w:val="24"/>
              </w:rPr>
              <w:t>139)</w:t>
            </w:r>
          </w:p>
        </w:tc>
        <w:tc>
          <w:tcPr>
            <w:tcW w:w="1963"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5F6C787" w14:textId="12947D75" w:rsidR="0042530A" w:rsidRPr="006F14AE" w:rsidRDefault="00E97839" w:rsidP="006F14AE">
            <w:pPr>
              <w:spacing w:after="0" w:line="240" w:lineRule="auto"/>
              <w:jc w:val="both"/>
              <w:rPr>
                <w:rFonts w:cstheme="minorHAnsi"/>
                <w:szCs w:val="24"/>
              </w:rPr>
            </w:pPr>
            <w:r w:rsidRPr="006F14AE">
              <w:rPr>
                <w:rFonts w:cstheme="minorHAnsi"/>
                <w:szCs w:val="24"/>
              </w:rPr>
              <w:t>56.9</w:t>
            </w:r>
            <w:r w:rsidR="00A92DF0" w:rsidRPr="006F14AE">
              <w:rPr>
                <w:rFonts w:cstheme="minorHAnsi"/>
                <w:szCs w:val="24"/>
              </w:rPr>
              <w:t xml:space="preserve"> (109)</w:t>
            </w:r>
          </w:p>
        </w:tc>
        <w:tc>
          <w:tcPr>
            <w:tcW w:w="1882"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275171B7" w14:textId="1E91817D" w:rsidR="0042530A" w:rsidRPr="006F14AE" w:rsidRDefault="00743B89" w:rsidP="006F14AE">
            <w:pPr>
              <w:spacing w:after="0" w:line="240" w:lineRule="auto"/>
              <w:jc w:val="both"/>
              <w:rPr>
                <w:rFonts w:cstheme="minorHAnsi"/>
                <w:szCs w:val="24"/>
              </w:rPr>
            </w:pPr>
            <w:r w:rsidRPr="006F14AE">
              <w:rPr>
                <w:rFonts w:cstheme="minorHAnsi"/>
                <w:szCs w:val="24"/>
              </w:rPr>
              <w:t>25.1</w:t>
            </w:r>
            <w:r w:rsidR="00A92DF0" w:rsidRPr="006F14AE">
              <w:rPr>
                <w:rFonts w:cstheme="minorHAnsi"/>
                <w:szCs w:val="24"/>
              </w:rPr>
              <w:t xml:space="preserve"> (253)</w:t>
            </w:r>
          </w:p>
        </w:tc>
        <w:tc>
          <w:tcPr>
            <w:tcW w:w="1649"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7A8453FE" w14:textId="797C7C5D" w:rsidR="0042530A" w:rsidRPr="006F14AE" w:rsidRDefault="00BE21E9" w:rsidP="006F14AE">
            <w:pPr>
              <w:spacing w:after="0" w:line="240" w:lineRule="auto"/>
              <w:jc w:val="both"/>
              <w:rPr>
                <w:rFonts w:cstheme="minorHAnsi"/>
                <w:szCs w:val="24"/>
              </w:rPr>
            </w:pPr>
            <w:r w:rsidRPr="006F14AE">
              <w:rPr>
                <w:rFonts w:cstheme="minorHAnsi"/>
                <w:szCs w:val="24"/>
              </w:rPr>
              <w:t>31103</w:t>
            </w:r>
            <w:r w:rsidR="00A92DF0" w:rsidRPr="006F14AE">
              <w:rPr>
                <w:rFonts w:cstheme="minorHAnsi"/>
                <w:szCs w:val="24"/>
              </w:rPr>
              <w:t xml:space="preserve"> (29)</w:t>
            </w:r>
          </w:p>
        </w:tc>
        <w:tc>
          <w:tcPr>
            <w:tcW w:w="966" w:type="dxa"/>
            <w:tcBorders>
              <w:top w:val="single" w:sz="8" w:space="0" w:color="FFFFFF"/>
              <w:left w:val="single" w:sz="8" w:space="0" w:color="FFFFFF"/>
              <w:bottom w:val="single" w:sz="8" w:space="0" w:color="FFFFFF"/>
              <w:right w:val="single" w:sz="8" w:space="0" w:color="FFFFFF"/>
            </w:tcBorders>
            <w:shd w:val="clear" w:color="auto" w:fill="FFF1E8"/>
            <w:tcMar>
              <w:top w:w="72" w:type="dxa"/>
              <w:left w:w="3" w:type="dxa"/>
              <w:bottom w:w="72" w:type="dxa"/>
              <w:right w:w="3" w:type="dxa"/>
            </w:tcMar>
          </w:tcPr>
          <w:p w14:paraId="4197214C" w14:textId="0C9450E8" w:rsidR="0042530A" w:rsidRPr="006F14AE" w:rsidRDefault="005B594B" w:rsidP="006F14AE">
            <w:pPr>
              <w:spacing w:after="0" w:line="240" w:lineRule="auto"/>
              <w:jc w:val="both"/>
              <w:rPr>
                <w:rFonts w:cstheme="minorHAnsi"/>
                <w:szCs w:val="24"/>
              </w:rPr>
            </w:pPr>
            <w:r w:rsidRPr="006F14AE">
              <w:rPr>
                <w:rFonts w:cstheme="minorHAnsi"/>
                <w:szCs w:val="24"/>
              </w:rPr>
              <w:t>132.5</w:t>
            </w:r>
          </w:p>
        </w:tc>
      </w:tr>
    </w:tbl>
    <w:p w14:paraId="3E229DE6" w14:textId="77777777" w:rsidR="0042530A" w:rsidRDefault="0042530A" w:rsidP="0042530A"/>
    <w:p w14:paraId="51104EDB" w14:textId="60D6E70F" w:rsidR="0042530A" w:rsidRDefault="0042530A" w:rsidP="0042530A">
      <w:r>
        <w:tab/>
      </w:r>
      <w:r w:rsidR="007C1790">
        <w:t xml:space="preserve">Mapping the CIS for each county using </w:t>
      </w:r>
      <w:r>
        <w:t xml:space="preserve">Microsoft Power BI, we </w:t>
      </w:r>
      <w:r w:rsidR="007C1790">
        <w:t xml:space="preserve">observed </w:t>
      </w:r>
      <w:r>
        <w:t>high</w:t>
      </w:r>
      <w:r w:rsidR="007C1790">
        <w:t>er</w:t>
      </w:r>
      <w:r>
        <w:t xml:space="preserve"> vulnerability in counties along the Oklahoma border and counties located on the Gulf of Mexico (Figure X).  </w:t>
      </w:r>
      <w:r w:rsidR="004B1717">
        <w:t xml:space="preserve">Specific counties can then be further explored to understand the underlying factors contributing to their CIS. </w:t>
      </w:r>
      <w:r>
        <w:t>Using Power BI, we were able to look at Childress County, which ha</w:t>
      </w:r>
      <w:r w:rsidR="007C1790">
        <w:t>d</w:t>
      </w:r>
      <w:r>
        <w:t xml:space="preserve"> the highest </w:t>
      </w:r>
      <w:r w:rsidR="007C1790">
        <w:t>CIS</w:t>
      </w:r>
      <w:r>
        <w:t xml:space="preserve">, </w:t>
      </w:r>
      <w:r w:rsidR="007C1790">
        <w:t>and noted</w:t>
      </w:r>
      <w:r>
        <w:t xml:space="preserve"> high</w:t>
      </w:r>
      <w:r w:rsidR="007C1790">
        <w:t>er levels of</w:t>
      </w:r>
      <w:r>
        <w:t xml:space="preserve"> drug arrests, per capita income, and opioid prescriptions, and median vulnerability in drug overdose deaths, due to missing data.  Kleberg County, south of San Antonio on the Gulf Coast, ha</w:t>
      </w:r>
      <w:r w:rsidR="007C1790">
        <w:t>d</w:t>
      </w:r>
      <w:r>
        <w:t xml:space="preserve"> high</w:t>
      </w:r>
      <w:r w:rsidR="007C1790">
        <w:t>er levels of drug</w:t>
      </w:r>
      <w:r>
        <w:t xml:space="preserve"> arrests and </w:t>
      </w:r>
      <w:r w:rsidR="007C1790">
        <w:t xml:space="preserve">per capita </w:t>
      </w:r>
      <w:r>
        <w:t xml:space="preserve">income, and median vulnerability in opioid prescriptions.  </w:t>
      </w:r>
    </w:p>
    <w:p w14:paraId="79ADFA47" w14:textId="77777777" w:rsidR="0042530A" w:rsidRDefault="0042530A" w:rsidP="0042530A">
      <w:pPr>
        <w:keepNext/>
      </w:pPr>
      <w:r w:rsidRPr="00194C55">
        <w:rPr>
          <w:noProof/>
        </w:rPr>
        <w:drawing>
          <wp:inline distT="0" distB="0" distL="0" distR="0" wp14:anchorId="00537247" wp14:editId="1C53C6AB">
            <wp:extent cx="5695244" cy="3203575"/>
            <wp:effectExtent l="0" t="0" r="1270" b="0"/>
            <wp:docPr id="6" name="Picture 6">
              <a:extLst xmlns:a="http://schemas.openxmlformats.org/drawingml/2006/main">
                <a:ext uri="{FF2B5EF4-FFF2-40B4-BE49-F238E27FC236}">
                  <a16:creationId xmlns:a16="http://schemas.microsoft.com/office/drawing/2014/main" id="{1559C80E-4789-4DAA-ADEA-3C04E33A5A42}"/>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Picture 6">
                      <a:extLst>
                        <a:ext uri="{FF2B5EF4-FFF2-40B4-BE49-F238E27FC236}">
                          <a16:creationId xmlns:a16="http://schemas.microsoft.com/office/drawing/2014/main" id="{1559C80E-4789-4DAA-ADEA-3C04E33A5A42}"/>
                        </a:ext>
                      </a:extLst>
                    </pic:cNvPr>
                    <pic:cNvPicPr>
                      <a:picLocks noGrp="1"/>
                    </pic:cNvPicPr>
                  </pic:nvPicPr>
                  <pic:blipFill>
                    <a:blip r:embed="rId5"/>
                    <a:stretch/>
                  </pic:blipFill>
                  <pic:spPr>
                    <a:xfrm>
                      <a:off x="0" y="0"/>
                      <a:ext cx="5695244" cy="3203575"/>
                    </a:xfrm>
                    <a:prstGeom prst="rect">
                      <a:avLst/>
                    </a:prstGeom>
                  </pic:spPr>
                </pic:pic>
              </a:graphicData>
            </a:graphic>
          </wp:inline>
        </w:drawing>
      </w:r>
    </w:p>
    <w:p w14:paraId="22676404" w14:textId="77777777" w:rsidR="0042530A" w:rsidRPr="001930A9" w:rsidRDefault="0042530A" w:rsidP="0042530A">
      <w:pPr>
        <w:pStyle w:val="Caption"/>
        <w:rPr>
          <w:sz w:val="22"/>
          <w:szCs w:val="22"/>
        </w:rPr>
      </w:pPr>
      <w:r>
        <w:t xml:space="preserve">Figure </w:t>
      </w:r>
      <w:fldSimple w:instr=" SEQ Figure \* ARABIC ">
        <w:r>
          <w:rPr>
            <w:noProof/>
          </w:rPr>
          <w:t>2</w:t>
        </w:r>
      </w:fldSimple>
      <w:r>
        <w:t>.  JVA, Texas</w:t>
      </w:r>
    </w:p>
    <w:p w14:paraId="7374A86B" w14:textId="0CCF98CE" w:rsidR="0042530A" w:rsidRDefault="0042530A" w:rsidP="0042530A">
      <w:pPr>
        <w:jc w:val="both"/>
      </w:pPr>
      <w:r>
        <w:tab/>
      </w:r>
      <w:r w:rsidR="004B1717">
        <w:t>When interpreting the</w:t>
      </w:r>
      <w:r>
        <w:t xml:space="preserve"> </w:t>
      </w:r>
      <w:r w:rsidR="004B1717">
        <w:t>CIS</w:t>
      </w:r>
      <w:r>
        <w:t>, an appropriate outcome metric</w:t>
      </w:r>
      <w:r w:rsidR="004B1717">
        <w:t xml:space="preserve"> for context</w:t>
      </w:r>
      <w:r>
        <w:t xml:space="preserve"> should be used.  For </w:t>
      </w:r>
      <w:r w:rsidR="004B1717">
        <w:t>this CIS example</w:t>
      </w:r>
      <w:r>
        <w:t xml:space="preserve">, jurisdictions used metrics such as </w:t>
      </w:r>
      <w:r w:rsidR="004B1717">
        <w:t xml:space="preserve">diagnoses </w:t>
      </w:r>
      <w:r>
        <w:t>of Hep</w:t>
      </w:r>
      <w:r w:rsidR="004B1717">
        <w:t>atitis</w:t>
      </w:r>
      <w:r>
        <w:t xml:space="preserve"> C </w:t>
      </w:r>
      <w:r w:rsidR="004B1717">
        <w:t>or</w:t>
      </w:r>
      <w:r>
        <w:t xml:space="preserve"> HIV from state registries, in some cases combi</w:t>
      </w:r>
      <w:r w:rsidR="004B1717">
        <w:t>ni</w:t>
      </w:r>
      <w:r>
        <w:t>ng the two.  Other jurisdictions used hospitalization data for Hepatitis C or HIV, also, in some cases combining the two.</w:t>
      </w:r>
      <w:r w:rsidR="00FC04F5">
        <w:t xml:space="preserve">  For the Texas example, HIV </w:t>
      </w:r>
      <w:r w:rsidR="004B1717">
        <w:t xml:space="preserve">diagnoses </w:t>
      </w:r>
      <w:r w:rsidR="00FC04F5">
        <w:t>was used as the outcome metric.</w:t>
      </w:r>
      <w:r w:rsidR="00BA03FF">
        <w:t xml:space="preserve">  </w:t>
      </w:r>
      <w:r w:rsidR="004B1717">
        <w:lastRenderedPageBreak/>
        <w:t xml:space="preserve">Assessing the CIS and the outcome metric together can add important context for understanding the CIS. For example, </w:t>
      </w:r>
      <w:r w:rsidR="00BA03FF">
        <w:t>Reeves County</w:t>
      </w:r>
      <w:r w:rsidR="00D31B3D">
        <w:t xml:space="preserve">, </w:t>
      </w:r>
      <w:r w:rsidR="00E9752B">
        <w:t xml:space="preserve">a rural county with a population of </w:t>
      </w:r>
      <w:r w:rsidR="00EF289C">
        <w:t xml:space="preserve">13,783 </w:t>
      </w:r>
      <w:r w:rsidR="00D31B3D">
        <w:t xml:space="preserve">in West Texas, had the highest rate of HIV </w:t>
      </w:r>
      <w:r w:rsidR="004B1717">
        <w:t>diagnoses</w:t>
      </w:r>
      <w:r w:rsidR="00D31B3D">
        <w:t xml:space="preserve">, </w:t>
      </w:r>
      <w:r w:rsidR="003F026A">
        <w:t>54.9</w:t>
      </w:r>
      <w:r w:rsidR="004B1717">
        <w:t xml:space="preserve"> per </w:t>
      </w:r>
      <w:r w:rsidR="00B418FB">
        <w:t>100,000</w:t>
      </w:r>
      <w:r w:rsidR="003F026A">
        <w:t xml:space="preserve">.  </w:t>
      </w:r>
      <w:r w:rsidR="006D3D95">
        <w:t>It also ranked</w:t>
      </w:r>
      <w:commentRangeStart w:id="0"/>
      <w:commentRangeStart w:id="1"/>
      <w:r w:rsidR="006D3D95">
        <w:t xml:space="preserve"> </w:t>
      </w:r>
      <w:commentRangeEnd w:id="0"/>
      <w:commentRangeEnd w:id="1"/>
      <w:r w:rsidR="00684038">
        <w:t>242</w:t>
      </w:r>
      <w:r w:rsidR="00684038" w:rsidRPr="006D3D95">
        <w:rPr>
          <w:vertAlign w:val="superscript"/>
        </w:rPr>
        <w:t>th</w:t>
      </w:r>
      <w:r w:rsidR="00684038">
        <w:t xml:space="preserve"> </w:t>
      </w:r>
      <w:r w:rsidR="004B1717">
        <w:rPr>
          <w:rStyle w:val="CommentReference"/>
        </w:rPr>
        <w:commentReference w:id="0"/>
      </w:r>
      <w:r w:rsidR="0009654B">
        <w:rPr>
          <w:rStyle w:val="CommentReference"/>
        </w:rPr>
        <w:commentReference w:id="1"/>
      </w:r>
      <w:r w:rsidR="006D3D95">
        <w:t>in terms of vulnerability.</w:t>
      </w:r>
    </w:p>
    <w:p w14:paraId="5D6E0F33" w14:textId="5AC8E64D" w:rsidR="0042530A" w:rsidRDefault="0042530A" w:rsidP="0042530A">
      <w:pPr>
        <w:jc w:val="both"/>
      </w:pPr>
      <w:r>
        <w:tab/>
        <w:t>When presenting</w:t>
      </w:r>
      <w:r w:rsidR="004B1717">
        <w:t xml:space="preserve"> the CIS</w:t>
      </w:r>
      <w:r>
        <w:t xml:space="preserve"> to stakeholders, we offer the following recommendations:</w:t>
      </w:r>
    </w:p>
    <w:p w14:paraId="6946E45A" w14:textId="1325C2F9" w:rsidR="004B1717" w:rsidRDefault="0042530A" w:rsidP="006F14AE">
      <w:pPr>
        <w:pStyle w:val="ListParagraph"/>
        <w:numPr>
          <w:ilvl w:val="0"/>
          <w:numId w:val="2"/>
        </w:numPr>
        <w:jc w:val="both"/>
      </w:pPr>
      <w:r w:rsidRPr="00986719">
        <w:t>Focus on areas with high</w:t>
      </w:r>
      <w:r>
        <w:t xml:space="preserve"> outcome</w:t>
      </w:r>
      <w:r w:rsidRPr="00986719">
        <w:t xml:space="preserve"> metric / high </w:t>
      </w:r>
      <w:r w:rsidR="004B1717">
        <w:t>CIS</w:t>
      </w:r>
      <w:r w:rsidR="006D3D95">
        <w:t>, such as Reeves County</w:t>
      </w:r>
      <w:r w:rsidR="004B1717">
        <w:t xml:space="preserve">: </w:t>
      </w:r>
      <w:r w:rsidR="004B1717">
        <w:t>Areas with high outcome metrics and high vulnerability represent areas where resources should be dedicated.  Health departments should look at available resources within these areas and see what steps are being taken, and could be taken, to address IDU in those communities.</w:t>
      </w:r>
    </w:p>
    <w:p w14:paraId="34CF7235" w14:textId="71454212" w:rsidR="004B1717" w:rsidRDefault="0042530A" w:rsidP="006F14AE">
      <w:pPr>
        <w:pStyle w:val="ListParagraph"/>
        <w:numPr>
          <w:ilvl w:val="0"/>
          <w:numId w:val="2"/>
        </w:numPr>
      </w:pPr>
      <w:r w:rsidRPr="00986719">
        <w:t xml:space="preserve">Focus on areas with low </w:t>
      </w:r>
      <w:r>
        <w:t xml:space="preserve">outcome </w:t>
      </w:r>
      <w:r w:rsidRPr="00986719">
        <w:t>metric / high vulnerability</w:t>
      </w:r>
      <w:r w:rsidR="00201BF5">
        <w:t xml:space="preserve">, such as Taylor County </w:t>
      </w:r>
      <w:r w:rsidR="00E33658">
        <w:t xml:space="preserve">(HIV </w:t>
      </w:r>
      <w:r w:rsidR="004B1717">
        <w:t xml:space="preserve">diagnoses </w:t>
      </w:r>
      <w:r w:rsidR="00E33658">
        <w:t>of 6.3</w:t>
      </w:r>
      <w:r w:rsidR="004B1717">
        <w:t xml:space="preserve"> per </w:t>
      </w:r>
      <w:r w:rsidR="0009654B">
        <w:t>100,000</w:t>
      </w:r>
      <w:r w:rsidR="00E33658">
        <w:t xml:space="preserve">; </w:t>
      </w:r>
      <w:r w:rsidR="004B1717">
        <w:t>CIS</w:t>
      </w:r>
      <w:r w:rsidR="00E33658">
        <w:t xml:space="preserve"> of </w:t>
      </w:r>
      <w:commentRangeStart w:id="2"/>
      <w:commentRangeStart w:id="3"/>
      <w:r w:rsidR="00B033BF">
        <w:t>151</w:t>
      </w:r>
      <w:commentRangeEnd w:id="2"/>
      <w:r w:rsidR="004B1717">
        <w:rPr>
          <w:rStyle w:val="CommentReference"/>
        </w:rPr>
        <w:commentReference w:id="2"/>
      </w:r>
      <w:commentRangeEnd w:id="3"/>
      <w:r w:rsidR="0009654B">
        <w:rPr>
          <w:rStyle w:val="CommentReference"/>
        </w:rPr>
        <w:commentReference w:id="3"/>
      </w:r>
      <w:r w:rsidR="00B033BF">
        <w:t>)</w:t>
      </w:r>
      <w:r w:rsidR="004B1717">
        <w:t>: Areas with a low outcome metric but high vulnerability may be due to protective factors such as needle exchange programs, Naloxone availability, or programs by local public health officials.  On the other hand, such areas may reflect a lack of testing for the outcome metric, such as lack of capacity to test for HIV / HCV.</w:t>
      </w:r>
    </w:p>
    <w:p w14:paraId="276C67AF" w14:textId="116D2BB8" w:rsidR="0042530A" w:rsidRPr="00986719" w:rsidRDefault="0042530A" w:rsidP="003E36D5">
      <w:pPr>
        <w:pStyle w:val="ListParagraph"/>
        <w:numPr>
          <w:ilvl w:val="0"/>
          <w:numId w:val="2"/>
        </w:numPr>
      </w:pPr>
      <w:r w:rsidRPr="00986719">
        <w:t xml:space="preserve">Focus on areas with high </w:t>
      </w:r>
      <w:r>
        <w:t xml:space="preserve">outcome </w:t>
      </w:r>
      <w:r w:rsidRPr="00986719">
        <w:t>metric / low vulnerability</w:t>
      </w:r>
      <w:r w:rsidR="00990E1C">
        <w:t xml:space="preserve">, such as Chambers County (HIV </w:t>
      </w:r>
      <w:r w:rsidR="004B1717">
        <w:t xml:space="preserve">diagnoses </w:t>
      </w:r>
      <w:r w:rsidR="00990E1C">
        <w:t xml:space="preserve">of </w:t>
      </w:r>
      <w:r w:rsidR="006434F6">
        <w:t>45.1</w:t>
      </w:r>
      <w:r w:rsidR="004B1717">
        <w:t xml:space="preserve"> per </w:t>
      </w:r>
      <w:r w:rsidR="0009654B">
        <w:t>100,000</w:t>
      </w:r>
      <w:r w:rsidR="006434F6">
        <w:t xml:space="preserve">, second highest in Texas; </w:t>
      </w:r>
      <w:bookmarkStart w:id="4" w:name="_GoBack"/>
      <w:bookmarkEnd w:id="4"/>
      <w:r w:rsidR="004B1717">
        <w:t>CIS</w:t>
      </w:r>
      <w:r w:rsidR="00F263EA">
        <w:t xml:space="preserve"> of </w:t>
      </w:r>
      <w:r w:rsidR="0061474F">
        <w:t>95.25)</w:t>
      </w:r>
      <w:r w:rsidR="004B1717">
        <w:t>: Areas with a high outcome metric and low vulnerability may reflect exogenous factors, such as changes in drug traffic patterns.  When working with one state, a county with high HCV incidence was a county that contained a major Interstate highway and located near a large urban area in a neighboring state.</w:t>
      </w:r>
    </w:p>
    <w:p w14:paraId="315E0E32" w14:textId="19F96389" w:rsidR="0042530A" w:rsidRDefault="0042530A" w:rsidP="0042530A">
      <w:pPr>
        <w:ind w:firstLine="720"/>
      </w:pPr>
      <w:r>
        <w:t xml:space="preserve">We created a county focus template using Bexar County, Texas (Appendix X).  This template is a generic example of how states can focus on specific regions.  Because of the large numbers of missing values in the selected outcome variable (HIV </w:t>
      </w:r>
      <w:r w:rsidR="004B1717">
        <w:t>diagnoses</w:t>
      </w:r>
      <w:r>
        <w:t>, CDC</w:t>
      </w:r>
      <w:r w:rsidR="004B1717">
        <w:t xml:space="preserve">/NCHHSTP </w:t>
      </w:r>
      <w:r>
        <w:t>Atlas</w:t>
      </w:r>
      <w:r w:rsidR="004B1717">
        <w:t>Plus</w:t>
      </w:r>
      <w:r>
        <w:t xml:space="preserve"> Public Data), outcome ranking for Bexar is currently blank.  As with the Texas example, indicators are ranked in a “higher is worse” format where higher values represent more vulnerability or negative outcome.  Jurisdictions may modify this template as needed when working with local health partners.</w:t>
      </w:r>
    </w:p>
    <w:p w14:paraId="3EC4D9DD" w14:textId="03878099" w:rsidR="00FC2472" w:rsidRDefault="00FC2472">
      <w:r>
        <w:br w:type="page"/>
      </w:r>
    </w:p>
    <w:p w14:paraId="0E8DDC5A" w14:textId="77777777" w:rsidR="00FC2472" w:rsidRDefault="00FC2472" w:rsidP="00FC2472">
      <w:r>
        <w:lastRenderedPageBreak/>
        <w:t>Appendix X. Focus Template</w:t>
      </w:r>
    </w:p>
    <w:p w14:paraId="734B14AD" w14:textId="77777777" w:rsidR="00FC2472" w:rsidRPr="00587848" w:rsidRDefault="00FC2472" w:rsidP="00FC2472">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t>Focus</w:t>
      </w:r>
      <w:r>
        <w:rPr>
          <w:rFonts w:asciiTheme="minorHAnsi" w:hAnsiTheme="minorHAnsi"/>
          <w:color w:val="2F5496" w:themeColor="accent1" w:themeShade="BF"/>
          <w:sz w:val="26"/>
          <w:szCs w:val="26"/>
        </w:rPr>
        <w:t>: Bexar County, Texas</w:t>
      </w:r>
    </w:p>
    <w:p w14:paraId="226530F5" w14:textId="77777777" w:rsidR="00FC2472" w:rsidRDefault="00FC2472" w:rsidP="00FC2472">
      <w:r>
        <w:tab/>
        <w:t>Bexar County contains San Antonio.  Across the four indicators, Bexar has an average rank of 112 (out of a maximum possible of 254 counties): 62 for deaths, 90 for prescriptions, 90 for income, 205 for drug arrests.  It’s rate of HIV incidence is similar to the statewide rate of 19.0 per 100,000.</w:t>
      </w:r>
    </w:p>
    <w:p w14:paraId="1F13F9A7" w14:textId="77777777" w:rsidR="00FC2472" w:rsidRDefault="00FC2472" w:rsidP="00FC2472">
      <w:r>
        <w:tab/>
        <w:t>By comparison to state averages (statewide rate of HIV incidence in Texas is 19.0 per 100,000 population) the HIV incidence in Bexar County is 16% higher.  The indicator where Bexar County has the greatest ranked vulnerability is drug arrests.  By focusing on evidence-based programs that lower these indicators, Bexar County’s HIV incidence would be expected to move closer to the statewide value, and thus reduce vulnerability.</w:t>
      </w:r>
      <w:r>
        <w:br/>
      </w:r>
    </w:p>
    <w:p w14:paraId="5C5D3C8E" w14:textId="77777777" w:rsidR="00FC2472" w:rsidRDefault="00FC2472" w:rsidP="00FC2472">
      <w:r>
        <w:rPr>
          <w:noProof/>
        </w:rPr>
        <w:drawing>
          <wp:inline distT="0" distB="0" distL="0" distR="0" wp14:anchorId="27A3EC5B" wp14:editId="56AF239E">
            <wp:extent cx="5943600" cy="37420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742055"/>
                    </a:xfrm>
                    <a:prstGeom prst="rect">
                      <a:avLst/>
                    </a:prstGeom>
                  </pic:spPr>
                </pic:pic>
              </a:graphicData>
            </a:graphic>
          </wp:inline>
        </w:drawing>
      </w:r>
    </w:p>
    <w:p w14:paraId="7FE8F8F6" w14:textId="77777777" w:rsidR="00FC2472" w:rsidRDefault="00FC2472" w:rsidP="00FC2472"/>
    <w:p w14:paraId="005D18D2" w14:textId="77777777" w:rsidR="00E14048" w:rsidRDefault="006F14AE"/>
    <w:sectPr w:rsidR="00E140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an Handel, Michelle (CDC/DDID/NCHHSTP/OD)" w:date="2020-02-03T09:43:00Z" w:initials="VHM(">
    <w:p w14:paraId="1FFE2C98" w14:textId="56805287" w:rsidR="004B1717" w:rsidRDefault="004B1717">
      <w:pPr>
        <w:pStyle w:val="CommentText"/>
      </w:pPr>
      <w:r>
        <w:rPr>
          <w:rStyle w:val="CommentReference"/>
        </w:rPr>
        <w:annotationRef/>
      </w:r>
      <w:r>
        <w:t>In other places, lower rank = lower vulnerability – is that true here or the opposite?</w:t>
      </w:r>
    </w:p>
  </w:comment>
  <w:comment w:id="1" w:author="Cody Custis" w:date="2020-02-03T17:21:00Z" w:initials="CC">
    <w:p w14:paraId="2D59CBF7" w14:textId="1319C9CB" w:rsidR="0009654B" w:rsidRDefault="0009654B">
      <w:pPr>
        <w:pStyle w:val="CommentText"/>
      </w:pPr>
      <w:r>
        <w:rPr>
          <w:rStyle w:val="CommentReference"/>
        </w:rPr>
        <w:annotationRef/>
      </w:r>
      <w:r>
        <w:t>Switched to be consistent with a “higher is worse ranking.”</w:t>
      </w:r>
    </w:p>
  </w:comment>
  <w:comment w:id="2" w:author="Van Handel, Michelle (CDC/DDID/NCHHSTP/OD)" w:date="2020-02-03T09:45:00Z" w:initials="VHM(">
    <w:p w14:paraId="71F7F06A" w14:textId="7CBA7A3D" w:rsidR="004B1717" w:rsidRDefault="004B1717">
      <w:pPr>
        <w:pStyle w:val="CommentText"/>
      </w:pPr>
      <w:r>
        <w:rPr>
          <w:rStyle w:val="CommentReference"/>
        </w:rPr>
        <w:annotationRef/>
      </w:r>
      <w:r>
        <w:t>Similar to comment above – earlier higher rank = higher vulnerability, is that true here?</w:t>
      </w:r>
    </w:p>
  </w:comment>
  <w:comment w:id="3" w:author="Cody Custis" w:date="2020-02-03T17:21:00Z" w:initials="CC">
    <w:p w14:paraId="5F5F1981" w14:textId="248D5D77" w:rsidR="0009654B" w:rsidRDefault="0009654B">
      <w:pPr>
        <w:pStyle w:val="CommentText"/>
      </w:pPr>
      <w:r>
        <w:rPr>
          <w:rStyle w:val="CommentReference"/>
        </w:rPr>
        <w:annotationRef/>
      </w:r>
      <w:r>
        <w:t>Double checked to be consistent with a higher is worse ranking.”  Kept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FE2C98" w15:done="0"/>
  <w15:commentEx w15:paraId="2D59CBF7" w15:paraIdParent="1FFE2C98" w15:done="0"/>
  <w15:commentEx w15:paraId="71F7F06A" w15:done="0"/>
  <w15:commentEx w15:paraId="5F5F1981" w15:paraIdParent="71F7F0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FE2C98" w16cid:durableId="21E269A9"/>
  <w16cid:commentId w16cid:paraId="2D59CBF7" w16cid:durableId="21E2D50E"/>
  <w16cid:commentId w16cid:paraId="71F7F06A" w16cid:durableId="21E26A32"/>
  <w16cid:commentId w16cid:paraId="5F5F1981" w16cid:durableId="21E2D5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9444A"/>
    <w:multiLevelType w:val="hybridMultilevel"/>
    <w:tmpl w:val="FC9EDB3A"/>
    <w:lvl w:ilvl="0" w:tplc="DE04C464">
      <w:start w:val="1"/>
      <w:numFmt w:val="bullet"/>
      <w:lvlText w:val="•"/>
      <w:lvlJc w:val="left"/>
      <w:pPr>
        <w:tabs>
          <w:tab w:val="num" w:pos="720"/>
        </w:tabs>
        <w:ind w:left="720" w:hanging="360"/>
      </w:pPr>
      <w:rPr>
        <w:rFonts w:ascii="Arial" w:hAnsi="Arial" w:hint="default"/>
      </w:rPr>
    </w:lvl>
    <w:lvl w:ilvl="1" w:tplc="AC3AD81A">
      <w:start w:val="1"/>
      <w:numFmt w:val="bullet"/>
      <w:lvlText w:val="•"/>
      <w:lvlJc w:val="left"/>
      <w:pPr>
        <w:tabs>
          <w:tab w:val="num" w:pos="1440"/>
        </w:tabs>
        <w:ind w:left="1440" w:hanging="360"/>
      </w:pPr>
      <w:rPr>
        <w:rFonts w:ascii="Arial" w:hAnsi="Arial" w:hint="default"/>
      </w:rPr>
    </w:lvl>
    <w:lvl w:ilvl="2" w:tplc="DBAC09AA" w:tentative="1">
      <w:start w:val="1"/>
      <w:numFmt w:val="bullet"/>
      <w:lvlText w:val="•"/>
      <w:lvlJc w:val="left"/>
      <w:pPr>
        <w:tabs>
          <w:tab w:val="num" w:pos="2160"/>
        </w:tabs>
        <w:ind w:left="2160" w:hanging="360"/>
      </w:pPr>
      <w:rPr>
        <w:rFonts w:ascii="Arial" w:hAnsi="Arial" w:hint="default"/>
      </w:rPr>
    </w:lvl>
    <w:lvl w:ilvl="3" w:tplc="FF74AF42" w:tentative="1">
      <w:start w:val="1"/>
      <w:numFmt w:val="bullet"/>
      <w:lvlText w:val="•"/>
      <w:lvlJc w:val="left"/>
      <w:pPr>
        <w:tabs>
          <w:tab w:val="num" w:pos="2880"/>
        </w:tabs>
        <w:ind w:left="2880" w:hanging="360"/>
      </w:pPr>
      <w:rPr>
        <w:rFonts w:ascii="Arial" w:hAnsi="Arial" w:hint="default"/>
      </w:rPr>
    </w:lvl>
    <w:lvl w:ilvl="4" w:tplc="1110FF3C" w:tentative="1">
      <w:start w:val="1"/>
      <w:numFmt w:val="bullet"/>
      <w:lvlText w:val="•"/>
      <w:lvlJc w:val="left"/>
      <w:pPr>
        <w:tabs>
          <w:tab w:val="num" w:pos="3600"/>
        </w:tabs>
        <w:ind w:left="3600" w:hanging="360"/>
      </w:pPr>
      <w:rPr>
        <w:rFonts w:ascii="Arial" w:hAnsi="Arial" w:hint="default"/>
      </w:rPr>
    </w:lvl>
    <w:lvl w:ilvl="5" w:tplc="51DAA4B6" w:tentative="1">
      <w:start w:val="1"/>
      <w:numFmt w:val="bullet"/>
      <w:lvlText w:val="•"/>
      <w:lvlJc w:val="left"/>
      <w:pPr>
        <w:tabs>
          <w:tab w:val="num" w:pos="4320"/>
        </w:tabs>
        <w:ind w:left="4320" w:hanging="360"/>
      </w:pPr>
      <w:rPr>
        <w:rFonts w:ascii="Arial" w:hAnsi="Arial" w:hint="default"/>
      </w:rPr>
    </w:lvl>
    <w:lvl w:ilvl="6" w:tplc="6CA6A2E8" w:tentative="1">
      <w:start w:val="1"/>
      <w:numFmt w:val="bullet"/>
      <w:lvlText w:val="•"/>
      <w:lvlJc w:val="left"/>
      <w:pPr>
        <w:tabs>
          <w:tab w:val="num" w:pos="5040"/>
        </w:tabs>
        <w:ind w:left="5040" w:hanging="360"/>
      </w:pPr>
      <w:rPr>
        <w:rFonts w:ascii="Arial" w:hAnsi="Arial" w:hint="default"/>
      </w:rPr>
    </w:lvl>
    <w:lvl w:ilvl="7" w:tplc="1B725C60" w:tentative="1">
      <w:start w:val="1"/>
      <w:numFmt w:val="bullet"/>
      <w:lvlText w:val="•"/>
      <w:lvlJc w:val="left"/>
      <w:pPr>
        <w:tabs>
          <w:tab w:val="num" w:pos="5760"/>
        </w:tabs>
        <w:ind w:left="5760" w:hanging="360"/>
      </w:pPr>
      <w:rPr>
        <w:rFonts w:ascii="Arial" w:hAnsi="Arial" w:hint="default"/>
      </w:rPr>
    </w:lvl>
    <w:lvl w:ilvl="8" w:tplc="333AA27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C7F55B5"/>
    <w:multiLevelType w:val="hybridMultilevel"/>
    <w:tmpl w:val="A6546DAC"/>
    <w:lvl w:ilvl="0" w:tplc="B7408F42">
      <w:start w:val="1"/>
      <w:numFmt w:val="decimal"/>
      <w:lvlText w:val="%1)"/>
      <w:lvlJc w:val="left"/>
      <w:pPr>
        <w:tabs>
          <w:tab w:val="num" w:pos="720"/>
        </w:tabs>
        <w:ind w:left="720" w:hanging="360"/>
      </w:pPr>
    </w:lvl>
    <w:lvl w:ilvl="1" w:tplc="56428E66" w:tentative="1">
      <w:start w:val="1"/>
      <w:numFmt w:val="decimal"/>
      <w:lvlText w:val="%2)"/>
      <w:lvlJc w:val="left"/>
      <w:pPr>
        <w:tabs>
          <w:tab w:val="num" w:pos="1440"/>
        </w:tabs>
        <w:ind w:left="1440" w:hanging="360"/>
      </w:pPr>
    </w:lvl>
    <w:lvl w:ilvl="2" w:tplc="6150A444" w:tentative="1">
      <w:start w:val="1"/>
      <w:numFmt w:val="decimal"/>
      <w:lvlText w:val="%3)"/>
      <w:lvlJc w:val="left"/>
      <w:pPr>
        <w:tabs>
          <w:tab w:val="num" w:pos="2160"/>
        </w:tabs>
        <w:ind w:left="2160" w:hanging="360"/>
      </w:pPr>
    </w:lvl>
    <w:lvl w:ilvl="3" w:tplc="55F8A2F2" w:tentative="1">
      <w:start w:val="1"/>
      <w:numFmt w:val="decimal"/>
      <w:lvlText w:val="%4)"/>
      <w:lvlJc w:val="left"/>
      <w:pPr>
        <w:tabs>
          <w:tab w:val="num" w:pos="2880"/>
        </w:tabs>
        <w:ind w:left="2880" w:hanging="360"/>
      </w:pPr>
    </w:lvl>
    <w:lvl w:ilvl="4" w:tplc="B5CA8060" w:tentative="1">
      <w:start w:val="1"/>
      <w:numFmt w:val="decimal"/>
      <w:lvlText w:val="%5)"/>
      <w:lvlJc w:val="left"/>
      <w:pPr>
        <w:tabs>
          <w:tab w:val="num" w:pos="3600"/>
        </w:tabs>
        <w:ind w:left="3600" w:hanging="360"/>
      </w:pPr>
    </w:lvl>
    <w:lvl w:ilvl="5" w:tplc="3FA87D3E" w:tentative="1">
      <w:start w:val="1"/>
      <w:numFmt w:val="decimal"/>
      <w:lvlText w:val="%6)"/>
      <w:lvlJc w:val="left"/>
      <w:pPr>
        <w:tabs>
          <w:tab w:val="num" w:pos="4320"/>
        </w:tabs>
        <w:ind w:left="4320" w:hanging="360"/>
      </w:pPr>
    </w:lvl>
    <w:lvl w:ilvl="6" w:tplc="34109E02" w:tentative="1">
      <w:start w:val="1"/>
      <w:numFmt w:val="decimal"/>
      <w:lvlText w:val="%7)"/>
      <w:lvlJc w:val="left"/>
      <w:pPr>
        <w:tabs>
          <w:tab w:val="num" w:pos="5040"/>
        </w:tabs>
        <w:ind w:left="5040" w:hanging="360"/>
      </w:pPr>
    </w:lvl>
    <w:lvl w:ilvl="7" w:tplc="546AEBE6" w:tentative="1">
      <w:start w:val="1"/>
      <w:numFmt w:val="decimal"/>
      <w:lvlText w:val="%8)"/>
      <w:lvlJc w:val="left"/>
      <w:pPr>
        <w:tabs>
          <w:tab w:val="num" w:pos="5760"/>
        </w:tabs>
        <w:ind w:left="5760" w:hanging="360"/>
      </w:pPr>
    </w:lvl>
    <w:lvl w:ilvl="8" w:tplc="8B0E091A" w:tentative="1">
      <w:start w:val="1"/>
      <w:numFmt w:val="decimal"/>
      <w:lvlText w:val="%9)"/>
      <w:lvlJc w:val="left"/>
      <w:pPr>
        <w:tabs>
          <w:tab w:val="num" w:pos="6480"/>
        </w:tabs>
        <w:ind w:left="6480" w:hanging="36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n Handel, Michelle (CDC/DDID/NCHHSTP/OD)">
    <w15:presenceInfo w15:providerId="AD" w15:userId="S::ioq4@cdc.gov::2259ed54-77cd-463b-afaa-48496b135651"/>
  </w15:person>
  <w15:person w15:author="Cody Custis">
    <w15:presenceInfo w15:providerId="Windows Live" w15:userId="6cb0bed389730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1BE"/>
    <w:rsid w:val="00053F47"/>
    <w:rsid w:val="0009654B"/>
    <w:rsid w:val="00201BF5"/>
    <w:rsid w:val="00294813"/>
    <w:rsid w:val="00320DAC"/>
    <w:rsid w:val="0039333D"/>
    <w:rsid w:val="003E36D5"/>
    <w:rsid w:val="003F026A"/>
    <w:rsid w:val="0042530A"/>
    <w:rsid w:val="004B1717"/>
    <w:rsid w:val="004F2899"/>
    <w:rsid w:val="00522409"/>
    <w:rsid w:val="00555B7F"/>
    <w:rsid w:val="005B594B"/>
    <w:rsid w:val="0061474F"/>
    <w:rsid w:val="006434F6"/>
    <w:rsid w:val="00684038"/>
    <w:rsid w:val="006D3D95"/>
    <w:rsid w:val="006F14AE"/>
    <w:rsid w:val="00743B89"/>
    <w:rsid w:val="007458B5"/>
    <w:rsid w:val="007C1790"/>
    <w:rsid w:val="00855AFB"/>
    <w:rsid w:val="008C4232"/>
    <w:rsid w:val="00990E1C"/>
    <w:rsid w:val="009D50FF"/>
    <w:rsid w:val="00A34B44"/>
    <w:rsid w:val="00A92DF0"/>
    <w:rsid w:val="00B033BF"/>
    <w:rsid w:val="00B418FB"/>
    <w:rsid w:val="00BA03FF"/>
    <w:rsid w:val="00BE21E9"/>
    <w:rsid w:val="00BF2B93"/>
    <w:rsid w:val="00C94256"/>
    <w:rsid w:val="00CB0E73"/>
    <w:rsid w:val="00D02082"/>
    <w:rsid w:val="00D11B76"/>
    <w:rsid w:val="00D16EFF"/>
    <w:rsid w:val="00D31B3D"/>
    <w:rsid w:val="00E01FC4"/>
    <w:rsid w:val="00E33658"/>
    <w:rsid w:val="00E605D5"/>
    <w:rsid w:val="00E651BE"/>
    <w:rsid w:val="00E9752B"/>
    <w:rsid w:val="00E97839"/>
    <w:rsid w:val="00EA0A99"/>
    <w:rsid w:val="00EF289C"/>
    <w:rsid w:val="00F263EA"/>
    <w:rsid w:val="00F573F9"/>
    <w:rsid w:val="00FC04F5"/>
    <w:rsid w:val="00FC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EF1A"/>
  <w15:chartTrackingRefBased/>
  <w15:docId w15:val="{239BC030-DD0B-40A0-B9CA-53846EFAB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30A"/>
  </w:style>
  <w:style w:type="paragraph" w:styleId="Heading3">
    <w:name w:val="heading 3"/>
    <w:basedOn w:val="Normal"/>
    <w:next w:val="Normal"/>
    <w:link w:val="Heading3Char"/>
    <w:uiPriority w:val="9"/>
    <w:unhideWhenUsed/>
    <w:qFormat/>
    <w:rsid w:val="00FC24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2530A"/>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qFormat/>
    <w:rsid w:val="00FC2472"/>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053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F47"/>
    <w:rPr>
      <w:rFonts w:ascii="Segoe UI" w:hAnsi="Segoe UI" w:cs="Segoe UI"/>
      <w:sz w:val="18"/>
      <w:szCs w:val="18"/>
    </w:rPr>
  </w:style>
  <w:style w:type="character" w:styleId="CommentReference">
    <w:name w:val="annotation reference"/>
    <w:basedOn w:val="DefaultParagraphFont"/>
    <w:uiPriority w:val="99"/>
    <w:semiHidden/>
    <w:unhideWhenUsed/>
    <w:rsid w:val="004B1717"/>
    <w:rPr>
      <w:sz w:val="16"/>
      <w:szCs w:val="16"/>
    </w:rPr>
  </w:style>
  <w:style w:type="paragraph" w:styleId="CommentText">
    <w:name w:val="annotation text"/>
    <w:basedOn w:val="Normal"/>
    <w:link w:val="CommentTextChar"/>
    <w:uiPriority w:val="99"/>
    <w:semiHidden/>
    <w:unhideWhenUsed/>
    <w:rsid w:val="004B1717"/>
    <w:pPr>
      <w:spacing w:line="240" w:lineRule="auto"/>
    </w:pPr>
    <w:rPr>
      <w:sz w:val="20"/>
      <w:szCs w:val="20"/>
    </w:rPr>
  </w:style>
  <w:style w:type="character" w:customStyle="1" w:styleId="CommentTextChar">
    <w:name w:val="Comment Text Char"/>
    <w:basedOn w:val="DefaultParagraphFont"/>
    <w:link w:val="CommentText"/>
    <w:uiPriority w:val="99"/>
    <w:semiHidden/>
    <w:rsid w:val="004B1717"/>
    <w:rPr>
      <w:sz w:val="20"/>
      <w:szCs w:val="20"/>
    </w:rPr>
  </w:style>
  <w:style w:type="paragraph" w:styleId="CommentSubject">
    <w:name w:val="annotation subject"/>
    <w:basedOn w:val="CommentText"/>
    <w:next w:val="CommentText"/>
    <w:link w:val="CommentSubjectChar"/>
    <w:uiPriority w:val="99"/>
    <w:semiHidden/>
    <w:unhideWhenUsed/>
    <w:rsid w:val="004B1717"/>
    <w:rPr>
      <w:b/>
      <w:bCs/>
    </w:rPr>
  </w:style>
  <w:style w:type="character" w:customStyle="1" w:styleId="CommentSubjectChar">
    <w:name w:val="Comment Subject Char"/>
    <w:basedOn w:val="CommentTextChar"/>
    <w:link w:val="CommentSubject"/>
    <w:uiPriority w:val="99"/>
    <w:semiHidden/>
    <w:rsid w:val="004B1717"/>
    <w:rPr>
      <w:b/>
      <w:bCs/>
      <w:sz w:val="20"/>
      <w:szCs w:val="20"/>
    </w:rPr>
  </w:style>
  <w:style w:type="paragraph" w:styleId="ListParagraph">
    <w:name w:val="List Paragraph"/>
    <w:basedOn w:val="Normal"/>
    <w:uiPriority w:val="34"/>
    <w:qFormat/>
    <w:rsid w:val="004B1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cp:revision>
  <dcterms:created xsi:type="dcterms:W3CDTF">2020-02-04T00:20:00Z</dcterms:created>
  <dcterms:modified xsi:type="dcterms:W3CDTF">2020-02-04T00:22:00Z</dcterms:modified>
</cp:coreProperties>
</file>