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9A5EA10" w14:textId="232C358F" w:rsidR="00E14048" w:rsidRDefault="007E5F5D">
      <w:r>
        <w:t>Appendix: ICD-10-CM Transition</w:t>
      </w:r>
    </w:p>
    <w:p w14:paraId="20DD7943" w14:textId="6B53BAF9" w:rsidR="007E5F5D" w:rsidRDefault="007E5F5D">
      <w:r>
        <w:tab/>
      </w:r>
    </w:p>
    <w:p w14:paraId="0638D061" w14:textId="6ED248DB" w:rsidR="007E5F5D" w:rsidRDefault="007E5F5D">
      <w:r>
        <w:tab/>
      </w:r>
      <w:r w:rsidR="00895C32">
        <w:t xml:space="preserve">Inpatient admission, outpatient, and </w:t>
      </w:r>
      <w:r w:rsidR="00937505">
        <w:t>other billing data transitioned from ICD-9-CM to ICD-10-CM data on October 1, 2015, as part of the Affordable Care Act.</w:t>
      </w:r>
      <w:r w:rsidR="00937505">
        <w:rPr>
          <w:rStyle w:val="FootnoteReference"/>
        </w:rPr>
        <w:footnoteReference w:id="1"/>
      </w:r>
      <w:r w:rsidR="00CB1643">
        <w:t xml:space="preserve">  The impact on this transition on indicators based on billing data depends on the specific </w:t>
      </w:r>
      <w:r w:rsidR="002C21FE">
        <w:t>topic area.</w:t>
      </w:r>
      <w:r w:rsidR="00A20218">
        <w:t xml:space="preserve">  Conditions such as myocardial infarction saw relatively little change with the code switch.</w:t>
      </w:r>
      <w:r w:rsidR="00A20218">
        <w:rPr>
          <w:rStyle w:val="FootnoteReference"/>
        </w:rPr>
        <w:footnoteReference w:id="2"/>
      </w:r>
      <w:r w:rsidR="003B04F1">
        <w:t xml:space="preserve">  On the other hand, drug poisoning is much different with the ICD-10-CM transition.</w:t>
      </w:r>
      <w:r w:rsidR="003B04F1">
        <w:rPr>
          <w:rStyle w:val="FootnoteReference"/>
        </w:rPr>
        <w:footnoteReference w:id="3"/>
      </w:r>
    </w:p>
    <w:p w14:paraId="1441F39F" w14:textId="5AA2CBD8" w:rsidR="0035049B" w:rsidRDefault="0035049B">
      <w:r>
        <w:tab/>
      </w:r>
      <w:r w:rsidR="0052234B">
        <w:t xml:space="preserve">Ultimately, </w:t>
      </w:r>
      <w:r w:rsidR="00AE2ABA">
        <w:t xml:space="preserve">it can be difficult to disentangle changes in indicators due to ICD-10-CM definition versus </w:t>
      </w:r>
      <w:r w:rsidR="004668A1">
        <w:t xml:space="preserve">changes in actual conditions.  For example, a seen increase in non-heroin opioids may reflect updated definitions or a legitimate change in healthcare utilization; at the same time, a change in heroin opioids may reflect </w:t>
      </w:r>
      <w:r w:rsidR="00CE78A0">
        <w:t xml:space="preserve">more specific coding or changes in drug availability.  As such, analysts should be cautious in using billing data from before and after the transition, unless it is known that </w:t>
      </w:r>
      <w:r w:rsidR="006C2BB6">
        <w:t>coding changes have a small impact (such as the myocardial infarction case).</w:t>
      </w:r>
      <w:bookmarkStart w:id="0" w:name="_GoBack"/>
      <w:bookmarkEnd w:id="0"/>
    </w:p>
    <w:sectPr w:rsidR="0035049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9A565E9" w14:textId="77777777" w:rsidR="00A35EF9" w:rsidRDefault="00A35EF9" w:rsidP="00937505">
      <w:pPr>
        <w:spacing w:after="0" w:line="240" w:lineRule="auto"/>
      </w:pPr>
      <w:r>
        <w:separator/>
      </w:r>
    </w:p>
  </w:endnote>
  <w:endnote w:type="continuationSeparator" w:id="0">
    <w:p w14:paraId="4B24718C" w14:textId="77777777" w:rsidR="00A35EF9" w:rsidRDefault="00A35EF9" w:rsidP="0093750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F36BC1F" w14:textId="77777777" w:rsidR="00A35EF9" w:rsidRDefault="00A35EF9" w:rsidP="00937505">
      <w:pPr>
        <w:spacing w:after="0" w:line="240" w:lineRule="auto"/>
      </w:pPr>
      <w:r>
        <w:separator/>
      </w:r>
    </w:p>
  </w:footnote>
  <w:footnote w:type="continuationSeparator" w:id="0">
    <w:p w14:paraId="466D88BD" w14:textId="77777777" w:rsidR="00A35EF9" w:rsidRDefault="00A35EF9" w:rsidP="00937505">
      <w:pPr>
        <w:spacing w:after="0" w:line="240" w:lineRule="auto"/>
      </w:pPr>
      <w:r>
        <w:continuationSeparator/>
      </w:r>
    </w:p>
  </w:footnote>
  <w:footnote w:id="1">
    <w:p w14:paraId="48D66EB8" w14:textId="4B61A2D6" w:rsidR="00937505" w:rsidRDefault="00937505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hyperlink r:id="rId1" w:history="1">
        <w:r>
          <w:rPr>
            <w:rStyle w:val="Hyperlink"/>
          </w:rPr>
          <w:t>https://www.cms.gov/Medicare/Coding/ICD10/Downloads/ICD10Introduction20140819.pdf</w:t>
        </w:r>
      </w:hyperlink>
    </w:p>
  </w:footnote>
  <w:footnote w:id="2">
    <w:p w14:paraId="4E5CB239" w14:textId="7B5EDAAB" w:rsidR="00A20218" w:rsidRDefault="00A20218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hyperlink r:id="rId2" w:history="1">
        <w:r>
          <w:rPr>
            <w:rStyle w:val="Hyperlink"/>
          </w:rPr>
          <w:t>https://www.hcup-us.ahrq.gov/datainnovations/ICD-10_DXCCS_Trends112817.pdf</w:t>
        </w:r>
      </w:hyperlink>
    </w:p>
  </w:footnote>
  <w:footnote w:id="3">
    <w:p w14:paraId="2C6855D5" w14:textId="0652A697" w:rsidR="003B04F1" w:rsidRDefault="003B04F1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hyperlink r:id="rId3" w:history="1">
        <w:r>
          <w:rPr>
            <w:rStyle w:val="Hyperlink"/>
          </w:rPr>
          <w:t>https://www.cste.org/general/custom.asp?page=InjICD10DrugPoisInd</w:t>
        </w:r>
      </w:hyperlink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4BFE"/>
    <w:rsid w:val="00104BFE"/>
    <w:rsid w:val="002C21FE"/>
    <w:rsid w:val="0035049B"/>
    <w:rsid w:val="003B04F1"/>
    <w:rsid w:val="004668A1"/>
    <w:rsid w:val="0052234B"/>
    <w:rsid w:val="006C2BB6"/>
    <w:rsid w:val="007E5F5D"/>
    <w:rsid w:val="00895C32"/>
    <w:rsid w:val="00937505"/>
    <w:rsid w:val="009821C4"/>
    <w:rsid w:val="00A20218"/>
    <w:rsid w:val="00A35EF9"/>
    <w:rsid w:val="00AE2ABA"/>
    <w:rsid w:val="00CB1643"/>
    <w:rsid w:val="00CC6FCC"/>
    <w:rsid w:val="00CE78A0"/>
    <w:rsid w:val="00D11B76"/>
    <w:rsid w:val="00D16E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EC0C5D3"/>
  <w15:chartTrackingRefBased/>
  <w15:docId w15:val="{D775DD56-4382-433E-987C-A408A5EEF7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uiPriority w:val="99"/>
    <w:semiHidden/>
    <w:unhideWhenUsed/>
    <w:rsid w:val="00937505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937505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937505"/>
    <w:rPr>
      <w:vertAlign w:val="superscript"/>
    </w:rPr>
  </w:style>
  <w:style w:type="character" w:styleId="Hyperlink">
    <w:name w:val="Hyperlink"/>
    <w:basedOn w:val="DefaultParagraphFont"/>
    <w:uiPriority w:val="99"/>
    <w:semiHidden/>
    <w:unhideWhenUsed/>
    <w:rsid w:val="00937505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_rels/footnotes.xml.rels><?xml version="1.0" encoding="UTF-8" standalone="yes"?>
<Relationships xmlns="http://schemas.openxmlformats.org/package/2006/relationships"><Relationship Id="rId3" Type="http://schemas.openxmlformats.org/officeDocument/2006/relationships/hyperlink" Target="https://www.cste.org/general/custom.asp?page=InjICD10DrugPoisInd" TargetMode="External"/><Relationship Id="rId2" Type="http://schemas.openxmlformats.org/officeDocument/2006/relationships/hyperlink" Target="https://www.hcup-us.ahrq.gov/datainnovations/ICD-10_DXCCS_Trends112817.pdf" TargetMode="External"/><Relationship Id="rId1" Type="http://schemas.openxmlformats.org/officeDocument/2006/relationships/hyperlink" Target="https://www.cms.gov/Medicare/Coding/ICD10/Downloads/ICD10Introduction20140819.pdf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8AC66BE-5247-4831-A68C-00829DFA731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1</Pages>
  <Words>157</Words>
  <Characters>896</Characters>
  <Application>Microsoft Office Word</Application>
  <DocSecurity>0</DocSecurity>
  <Lines>7</Lines>
  <Paragraphs>2</Paragraphs>
  <ScaleCrop>false</ScaleCrop>
  <Company/>
  <LinksUpToDate>false</LinksUpToDate>
  <CharactersWithSpaces>1051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Cody Custis</dc:creator>
  <cp:keywords/>
  <dc:description/>
  <cp:lastModifiedBy>Cody Custis</cp:lastModifiedBy>
  <cp:revision>16</cp:revision>
  <dcterms:created xsi:type="dcterms:W3CDTF">2019-04-27T20:50:00Z</dcterms:created>
  <dcterms:modified xsi:type="dcterms:W3CDTF">2019-04-27T21:10:00Z</dcterms:modified>
</cp:coreProperties>
</file>