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597D487C" w:rsidR="00B93B99" w:rsidRDefault="00B93B99" w:rsidP="00B93B99">
      <w:pPr>
        <w:pStyle w:val="Standard"/>
      </w:pPr>
      <w:r>
        <w:t>Technical Appendices</w:t>
      </w:r>
    </w:p>
    <w:p w14:paraId="01439A6A" w14:textId="77777777" w:rsidR="00B93B99" w:rsidRDefault="00B93B99" w:rsidP="00B93B99">
      <w:pPr>
        <w:pStyle w:val="Standard"/>
      </w:pPr>
      <w:r>
        <w:t xml:space="preserve">Cody L. Custis, Jordan Larson; </w:t>
      </w:r>
      <w:proofErr w:type="spellStart"/>
      <w:r>
        <w:t>Tsuro</w:t>
      </w:r>
      <w:proofErr w:type="spellEnd"/>
      <w:r>
        <w:t xml:space="preserve"> Consulting</w:t>
      </w:r>
    </w:p>
    <w:p w14:paraId="22481FF0" w14:textId="365299CF" w:rsidR="00E14048" w:rsidRDefault="004260F5"/>
    <w:p w14:paraId="19E36F18" w14:textId="38F2E21F" w:rsidR="00B93B99" w:rsidRDefault="00B93B99">
      <w:r>
        <w:t>Introduction:</w:t>
      </w:r>
    </w:p>
    <w:p w14:paraId="611093D0" w14:textId="09D77E50" w:rsidR="00B93B99" w:rsidRDefault="00B93B99" w:rsidP="00B93B99">
      <w:r>
        <w:tab/>
        <w:t xml:space="preserve">This document summarizes </w:t>
      </w:r>
      <w:proofErr w:type="gramStart"/>
      <w:r>
        <w:t>a number of</w:t>
      </w:r>
      <w:proofErr w:type="gramEnd"/>
      <w:r>
        <w:t xml:space="preserve">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p w14:paraId="21F672FA" w14:textId="540389FF" w:rsidR="00E61F9E" w:rsidRDefault="00E61F9E" w:rsidP="00B93B99">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6BF49B4B" w14:textId="0A7FDF01" w:rsidR="00942AAA" w:rsidRDefault="00942AAA">
      <w:r>
        <w:br w:type="page"/>
      </w:r>
    </w:p>
    <w:p w14:paraId="60EE53D3" w14:textId="77777777" w:rsidR="00942AAA" w:rsidRDefault="00942AAA" w:rsidP="00942AAA">
      <w:r>
        <w:lastRenderedPageBreak/>
        <w:t>Appendix: ICD-10-CM Transition</w:t>
      </w:r>
    </w:p>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245493A8" w:rsidR="00026EE2" w:rsidRDefault="00026EE2" w:rsidP="00026EE2">
      <w:pPr>
        <w:pStyle w:val="Standard"/>
        <w:pageBreakBefore/>
      </w:pPr>
      <w:r>
        <w:lastRenderedPageBreak/>
        <w:t>Appendix: Missing data</w:t>
      </w:r>
    </w:p>
    <w:p w14:paraId="548BD416" w14:textId="77777777" w:rsidR="00026EE2" w:rsidRDefault="00026EE2" w:rsidP="00026EE2">
      <w:pPr>
        <w:pStyle w:val="Standard"/>
      </w:pPr>
    </w:p>
    <w:p w14:paraId="13543765" w14:textId="77777777" w:rsidR="00026EE2" w:rsidRDefault="00026EE2" w:rsidP="00026EE2">
      <w:pPr>
        <w:pStyle w:val="Standard"/>
      </w:pPr>
      <w:r>
        <w:tab/>
        <w:t xml:space="preserve">Data may be missing for </w:t>
      </w:r>
      <w:proofErr w:type="gramStart"/>
      <w:r>
        <w:t>a number of</w:t>
      </w:r>
      <w:proofErr w:type="gramEnd"/>
      <w:r>
        <w:t xml:space="preserve">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7C7F8452" w14:textId="77777777" w:rsidR="00026EE2" w:rsidRDefault="00026EE2" w:rsidP="00026EE2">
      <w:pPr>
        <w:pStyle w:val="Standard"/>
      </w:pPr>
      <w:r>
        <w:tab/>
        <w:t>One reason that data may be missing is that there are legitimately zero events.  For example, in the CDC Wonder dataset for drug overdose deaths, Loving County, TX does not appear.  Loving County is one of the smallest counties in the country, with 134 people.</w:t>
      </w:r>
    </w:p>
    <w:p w14:paraId="43042976" w14:textId="77777777" w:rsidR="00026EE2" w:rsidRDefault="00026EE2" w:rsidP="00026EE2">
      <w:pPr>
        <w:pStyle w:val="Standard"/>
      </w:pPr>
      <w:r>
        <w:tab/>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release guidelines.  For example, Utah has a comprehensive guide for data release which is </w:t>
      </w:r>
      <w:proofErr w:type="gramStart"/>
      <w:r>
        <w:t>similar to</w:t>
      </w:r>
      <w:proofErr w:type="gramEnd"/>
      <w:r>
        <w:t xml:space="preserve">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77777777" w:rsidR="00026EE2" w:rsidRDefault="00026EE2" w:rsidP="00026EE2">
      <w:pPr>
        <w:pStyle w:val="Standard"/>
      </w:pPr>
      <w:r>
        <w:tab/>
        <w:t xml:space="preserve">The approach to take with missing data depends on what the data is to be used for.  For mapping, if an indicator is only available at the state level, then it may be useful to map, but would be useful for prioritizing outcomes among counties.  Examples of indicators which may not be available for all counties </w:t>
      </w:r>
      <w:proofErr w:type="gramStart"/>
      <w:r>
        <w:t>include:</w:t>
      </w:r>
      <w:proofErr w:type="gramEnd"/>
      <w:r>
        <w:t xml:space="preserv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77777777" w:rsidR="00026EE2" w:rsidRDefault="00026EE2" w:rsidP="00026EE2">
      <w:pPr>
        <w:pStyle w:val="Standard"/>
      </w:pPr>
      <w:r>
        <w:tab/>
        <w:t>Use a statewide rate</w:t>
      </w:r>
    </w:p>
    <w:p w14:paraId="59857562" w14:textId="77777777" w:rsidR="00026EE2" w:rsidRDefault="00026EE2" w:rsidP="00026EE2">
      <w:pPr>
        <w:pStyle w:val="Standard"/>
      </w:pPr>
      <w:r>
        <w:tab/>
        <w:t xml:space="preserve">Use a rate for counties of a similar geography (Northwest, Eastern, </w:t>
      </w:r>
      <w:proofErr w:type="spellStart"/>
      <w:r>
        <w:t>etc</w:t>
      </w:r>
      <w:proofErr w:type="spellEnd"/>
      <w:r>
        <w:t>).</w:t>
      </w:r>
    </w:p>
    <w:p w14:paraId="6FF51A8C" w14:textId="77777777" w:rsidR="00026EE2" w:rsidRDefault="00026EE2" w:rsidP="00026EE2">
      <w:pPr>
        <w:pStyle w:val="Standard"/>
      </w:pPr>
      <w:r>
        <w:tab/>
        <w:t>Use a rate for counties of a similar characteristic (NCHS Urban / Rural Classification, etc.)</w:t>
      </w:r>
    </w:p>
    <w:p w14:paraId="290866EB" w14:textId="77777777" w:rsidR="00026EE2" w:rsidRDefault="00026EE2" w:rsidP="00026EE2">
      <w:pPr>
        <w:pStyle w:val="Standard"/>
      </w:pPr>
      <w:r>
        <w:tab/>
        <w:t>Aggregate counties based on geography (median of rates from surrounding counties)</w:t>
      </w:r>
    </w:p>
    <w:p w14:paraId="42611B2A" w14:textId="77777777" w:rsidR="00026EE2" w:rsidRDefault="00026EE2" w:rsidP="00026EE2">
      <w:pPr>
        <w:pStyle w:val="Standard"/>
      </w:pPr>
      <w:r>
        <w:tab/>
        <w:t xml:space="preserve">Aggregate counties based on characteristics (median of rates with NCHS Urban / Rural </w:t>
      </w:r>
      <w:r>
        <w:tab/>
        <w:t>Classification)</w:t>
      </w:r>
    </w:p>
    <w:p w14:paraId="225BF346" w14:textId="77777777" w:rsidR="00026EE2" w:rsidRDefault="00026EE2" w:rsidP="00026EE2">
      <w:pPr>
        <w:pStyle w:val="Standard"/>
      </w:pPr>
      <w:r>
        <w:lastRenderedPageBreak/>
        <w:tab/>
        <w:t>Multiple imputation methods</w:t>
      </w:r>
    </w:p>
    <w:p w14:paraId="3C90962D" w14:textId="77777777" w:rsidR="00026EE2" w:rsidRDefault="00026EE2" w:rsidP="00026EE2">
      <w:pPr>
        <w:pStyle w:val="Standard"/>
      </w:pPr>
      <w:r>
        <w:tab/>
        <w:t>Modeling techniques</w:t>
      </w:r>
    </w:p>
    <w:p w14:paraId="11DE1CB5" w14:textId="77777777" w:rsidR="00026EE2" w:rsidRDefault="00026EE2" w:rsidP="00026EE2">
      <w:pPr>
        <w:pStyle w:val="Standard"/>
      </w:pPr>
      <w:r>
        <w:tab/>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77777777" w:rsidR="00420C15" w:rsidRDefault="00420C15" w:rsidP="00420C15">
      <w:r>
        <w:lastRenderedPageBreak/>
        <w:t>Appendix: Multiyear Data</w:t>
      </w:r>
    </w:p>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 xml:space="preserve">For datasets used for </w:t>
      </w:r>
      <w:proofErr w:type="spellStart"/>
      <w:proofErr w:type="gramStart"/>
      <w:r>
        <w:t>stand</w:t>
      </w:r>
      <w:proofErr w:type="gramEnd"/>
      <w:r>
        <w:t xml:space="preserve"> alone</w:t>
      </w:r>
      <w:proofErr w:type="spellEnd"/>
      <w:r>
        <w:t xml:space="preserv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1E924D0" w:rsidR="00A81267" w:rsidRDefault="00A81267" w:rsidP="00942AAA">
      <w:r>
        <w:br w:type="page"/>
      </w:r>
    </w:p>
    <w:p w14:paraId="013DE55F" w14:textId="77777777" w:rsidR="004260F5" w:rsidRDefault="004260F5" w:rsidP="004260F5">
      <w:r>
        <w:lastRenderedPageBreak/>
        <w:t>Appendix: Class Intervals</w:t>
      </w:r>
    </w:p>
    <w:p w14:paraId="78FFE883" w14:textId="77777777" w:rsidR="004260F5" w:rsidRDefault="004260F5" w:rsidP="004260F5">
      <w:r>
        <w:tab/>
        <w:t>The two most common types of class intervals are the quantile method (usually four or five quantiles) and the Jenks Natural Breaks method.  Formal discussion of the various class interval methods is beyond the scope of this document, the R documentation gives a quick summary of how such are implemented in R.</w:t>
      </w:r>
      <w:r>
        <w:rPr>
          <w:rStyle w:val="FootnoteReference"/>
        </w:rPr>
        <w:footnoteReference w:id="8"/>
      </w:r>
      <w:r>
        <w:t xml:space="preserve">  For comparison, per capita income by county is plotted for all counties in the United States using quantile and Jenks methods.</w:t>
      </w:r>
      <w:r>
        <w:rPr>
          <w:rStyle w:val="FootnoteReference"/>
        </w:rPr>
        <w:footnoteReference w:id="9"/>
      </w:r>
    </w:p>
    <w:p w14:paraId="0C87EAEB" w14:textId="77777777" w:rsidR="004260F5" w:rsidRDefault="004260F5" w:rsidP="004260F5"/>
    <w:p w14:paraId="554C00A0" w14:textId="77777777" w:rsidR="004260F5" w:rsidRDefault="004260F5" w:rsidP="004260F5">
      <w:pPr>
        <w:jc w:val="center"/>
      </w:pPr>
      <w:bookmarkStart w:id="0" w:name="_GoBack"/>
      <w:r>
        <w:rPr>
          <w:noProof/>
        </w:rPr>
        <w:drawing>
          <wp:inline distT="0" distB="0" distL="0" distR="0" wp14:anchorId="54889533" wp14:editId="16D0A237">
            <wp:extent cx="5943600" cy="431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a:ext>
                      </a:extLst>
                    </a:blip>
                    <a:stretch>
                      <a:fillRect/>
                    </a:stretch>
                  </pic:blipFill>
                  <pic:spPr>
                    <a:xfrm>
                      <a:off x="0" y="0"/>
                      <a:ext cx="5943600" cy="4318000"/>
                    </a:xfrm>
                    <a:prstGeom prst="rect">
                      <a:avLst/>
                    </a:prstGeom>
                  </pic:spPr>
                </pic:pic>
              </a:graphicData>
            </a:graphic>
          </wp:inline>
        </w:drawing>
      </w:r>
      <w:bookmarkEnd w:id="0"/>
    </w:p>
    <w:p w14:paraId="5FC0F05C" w14:textId="77777777" w:rsidR="004260F5" w:rsidRDefault="004260F5" w:rsidP="004260F5">
      <w:pPr>
        <w:jc w:val="center"/>
      </w:pPr>
      <w:r>
        <w:rPr>
          <w:noProof/>
        </w:rPr>
        <w:lastRenderedPageBreak/>
        <w:drawing>
          <wp:inline distT="0" distB="0" distL="0" distR="0" wp14:anchorId="5CEBE5E8" wp14:editId="60DFCB86">
            <wp:extent cx="5943600" cy="432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5943600" cy="4321810"/>
                    </a:xfrm>
                    <a:prstGeom prst="rect">
                      <a:avLst/>
                    </a:prstGeom>
                  </pic:spPr>
                </pic:pic>
              </a:graphicData>
            </a:graphic>
          </wp:inline>
        </w:drawing>
      </w:r>
    </w:p>
    <w:p w14:paraId="07D1EB64" w14:textId="77777777" w:rsidR="004260F5" w:rsidRDefault="004260F5" w:rsidP="004260F5">
      <w:r>
        <w:tab/>
        <w:t>The main thing to notice about the quantile method is that the highest class is $30,141 through $69,529, whereas the Jenks method creates a class with the highest class of $44,785 through $69,529.  The distribution of per capita income at the county level is right skewed, Jenks does a better job capturing such.  On the other hand, for symmetric data, quantile methods will give similar results, but are easier to explain.</w:t>
      </w:r>
    </w:p>
    <w:p w14:paraId="1B40195F" w14:textId="77777777" w:rsidR="004260F5" w:rsidRDefault="004260F5" w:rsidP="004260F5">
      <w:pPr>
        <w:jc w:val="center"/>
      </w:pPr>
      <w:r>
        <w:rPr>
          <w:noProof/>
        </w:rPr>
        <w:drawing>
          <wp:inline distT="0" distB="0" distL="0" distR="0" wp14:anchorId="048FB025" wp14:editId="17653477">
            <wp:extent cx="3142711" cy="21215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a:ext>
                      </a:extLst>
                    </a:blip>
                    <a:stretch>
                      <a:fillRect/>
                    </a:stretch>
                  </pic:blipFill>
                  <pic:spPr>
                    <a:xfrm>
                      <a:off x="0" y="0"/>
                      <a:ext cx="3154402" cy="2129427"/>
                    </a:xfrm>
                    <a:prstGeom prst="rect">
                      <a:avLst/>
                    </a:prstGeom>
                  </pic:spPr>
                </pic:pic>
              </a:graphicData>
            </a:graphic>
          </wp:inline>
        </w:drawing>
      </w:r>
    </w:p>
    <w:p w14:paraId="051A1447" w14:textId="77777777" w:rsidR="004260F5" w:rsidRDefault="004260F5" w:rsidP="004260F5">
      <w:pPr>
        <w:ind w:firstLine="720"/>
      </w:pPr>
      <w:r>
        <w:lastRenderedPageBreak/>
        <w:t xml:space="preserve">The downside of Jenks is that the category bins are difficult to explain, whereas quantiles are generally understood.  Another disadvantage is that the Jenks method can be influenced by outliers.  For a video discussion, see </w:t>
      </w:r>
      <w:r w:rsidRPr="000247AF">
        <w:t>https://youtu.be/Amxec9Lx-3Y</w:t>
      </w:r>
      <w:r>
        <w:t>.</w:t>
      </w:r>
    </w:p>
    <w:p w14:paraId="669AF2F1" w14:textId="77777777" w:rsidR="00E61F9E" w:rsidRDefault="00E61F9E"/>
    <w:sectPr w:rsidR="00E61F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3A6C0" w14:textId="77777777" w:rsidR="00942AAA" w:rsidRDefault="00942AAA" w:rsidP="00942AAA">
      <w:pPr>
        <w:spacing w:after="0" w:line="240" w:lineRule="auto"/>
      </w:pPr>
      <w:r>
        <w:separator/>
      </w:r>
    </w:p>
  </w:endnote>
  <w:endnote w:type="continuationSeparator" w:id="0">
    <w:p w14:paraId="0617FA69" w14:textId="77777777" w:rsidR="00942AAA" w:rsidRDefault="00942AAA"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DB6CE" w14:textId="77777777" w:rsidR="00942AAA" w:rsidRDefault="00942AAA" w:rsidP="00942AAA">
      <w:pPr>
        <w:spacing w:after="0" w:line="240" w:lineRule="auto"/>
      </w:pPr>
      <w:r>
        <w:separator/>
      </w:r>
    </w:p>
  </w:footnote>
  <w:footnote w:type="continuationSeparator" w:id="0">
    <w:p w14:paraId="6E9B84D5" w14:textId="77777777" w:rsidR="00942AAA" w:rsidRDefault="00942AAA"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 w:id="8">
    <w:p w14:paraId="209A757A" w14:textId="77777777" w:rsidR="004260F5" w:rsidRDefault="004260F5" w:rsidP="004260F5">
      <w:pPr>
        <w:pStyle w:val="FootnoteText"/>
      </w:pPr>
      <w:r>
        <w:rPr>
          <w:rStyle w:val="FootnoteReference"/>
        </w:rPr>
        <w:footnoteRef/>
      </w:r>
      <w:r>
        <w:t xml:space="preserve"> </w:t>
      </w:r>
      <w:hyperlink r:id="rId8" w:history="1">
        <w:r>
          <w:rPr>
            <w:rStyle w:val="Hyperlink"/>
          </w:rPr>
          <w:t>https://www.rdocumentation.org/packages/classInt/versions/0.3-1/topics/classIntervals</w:t>
        </w:r>
      </w:hyperlink>
    </w:p>
  </w:footnote>
  <w:footnote w:id="9">
    <w:p w14:paraId="60997E4B" w14:textId="77777777" w:rsidR="004260F5" w:rsidRDefault="004260F5" w:rsidP="004260F5">
      <w:pPr>
        <w:pStyle w:val="FootnoteText"/>
      </w:pPr>
      <w:r>
        <w:rPr>
          <w:rStyle w:val="FootnoteReference"/>
        </w:rPr>
        <w:footnoteRef/>
      </w:r>
      <w:r>
        <w:t xml:space="preserve"> </w:t>
      </w:r>
      <w:hyperlink r:id="rId9" w:history="1">
        <w:r>
          <w:rPr>
            <w:rStyle w:val="Hyperlink"/>
          </w:rPr>
          <w:t>https://rud.is/b/2014/11/16/moving-the-earth-well-alaska-hawaii-with-r/</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34"/>
    <w:rsid w:val="00026EE2"/>
    <w:rsid w:val="00420C15"/>
    <w:rsid w:val="004260F5"/>
    <w:rsid w:val="004416C8"/>
    <w:rsid w:val="004932ED"/>
    <w:rsid w:val="00942AAA"/>
    <w:rsid w:val="00A81267"/>
    <w:rsid w:val="00B93B99"/>
    <w:rsid w:val="00D11B76"/>
    <w:rsid w:val="00D16EFF"/>
    <w:rsid w:val="00E61F9E"/>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semiHidden/>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 w:type="paragraph" w:styleId="BalloonText">
    <w:name w:val="Balloon Text"/>
    <w:basedOn w:val="Normal"/>
    <w:link w:val="BalloonTextChar"/>
    <w:uiPriority w:val="99"/>
    <w:semiHidden/>
    <w:unhideWhenUsed/>
    <w:rsid w:val="00A81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2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documentation.org/packages/classInt/versions/0.3-1/topics/classIntervals" TargetMode="External"/><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5" Type="http://schemas.openxmlformats.org/officeDocument/2006/relationships/hyperlink" Target="https://ibis.health.utah.gov/pdf/resource/DataSuppressionSummary.pdf" TargetMode="External"/><Relationship Id="rId4" Type="http://schemas.openxmlformats.org/officeDocument/2006/relationships/hyperlink" Target="http://www.stat.columbia.edu/~gelman/research/published/allmaps.pdf" TargetMode="External"/><Relationship Id="rId9" Type="http://schemas.openxmlformats.org/officeDocument/2006/relationships/hyperlink" Target="https://rud.is/b/2014/11/16/moving-the-earth-well-alaska-hawaii-wi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1221</Words>
  <Characters>6966</Characters>
  <Application>Microsoft Office Word</Application>
  <DocSecurity>0</DocSecurity>
  <Lines>58</Lines>
  <Paragraphs>16</Paragraphs>
  <ScaleCrop>false</ScaleCrop>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11</cp:revision>
  <dcterms:created xsi:type="dcterms:W3CDTF">2019-05-02T01:56:00Z</dcterms:created>
  <dcterms:modified xsi:type="dcterms:W3CDTF">2019-05-02T23:02:00Z</dcterms:modified>
</cp:coreProperties>
</file>