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16592A" w14:textId="556969A6" w:rsidR="00E14048" w:rsidRDefault="00AB7BBA">
      <w:r>
        <w:t>Data Dictionary – Mississippi</w:t>
      </w:r>
    </w:p>
    <w:p w14:paraId="4806F2ED" w14:textId="653BD43F" w:rsidR="00AB7BBA" w:rsidRDefault="00AB7BBA">
      <w:r>
        <w:t xml:space="preserve">Prepared by Cody L. Custis, </w:t>
      </w:r>
      <w:proofErr w:type="spellStart"/>
      <w:r>
        <w:t>Tsuro</w:t>
      </w:r>
      <w:proofErr w:type="spellEnd"/>
      <w:r>
        <w:t xml:space="preserve"> Consulting, for the Jurisdiction Vulnerability Assessment</w:t>
      </w:r>
    </w:p>
    <w:p w14:paraId="6DDC9218" w14:textId="28371A3A" w:rsidR="00EF6F0A" w:rsidRDefault="00EF6F0A">
      <w:r>
        <w:t>Introduction:</w:t>
      </w:r>
    </w:p>
    <w:p w14:paraId="19B18987" w14:textId="77777777" w:rsidR="00043323" w:rsidRDefault="00EF6F0A" w:rsidP="00043323">
      <w:r>
        <w:tab/>
        <w:t xml:space="preserve">This data dictionary is specific to Mississippi for the jurisdiction vulnerability assessment.  It contains data sources, comments on data wrangling, </w:t>
      </w:r>
      <w:r w:rsidR="005B5A77">
        <w:t xml:space="preserve">and </w:t>
      </w:r>
      <w:r w:rsidR="00043323">
        <w:t xml:space="preserve">preliminary maps for certain indicators.  </w:t>
      </w:r>
    </w:p>
    <w:p w14:paraId="48AC3C2A" w14:textId="05F7388B" w:rsidR="00EF6F0A" w:rsidRDefault="00EF6F0A" w:rsidP="00043323">
      <w:r>
        <w:t xml:space="preserve">Disclaimer: the views and opinions expressed in this document are those of the authors, Cody Custis and Jordan Larson, both of </w:t>
      </w:r>
      <w:proofErr w:type="spellStart"/>
      <w:r>
        <w:t>Tsuro</w:t>
      </w:r>
      <w:proofErr w:type="spellEnd"/>
      <w:r>
        <w:t xml:space="preserve"> Consulting, and do not necessarily reflect the official policy or position of the Centers for Disease Control and Prevention, the Council of State and Territorial Epidemiologists, or any state, local, or tribal health agency.</w:t>
      </w:r>
    </w:p>
    <w:p w14:paraId="50DC0274" w14:textId="77777777" w:rsidR="00BC3A79" w:rsidRDefault="00BC3A79" w:rsidP="00BC3A79">
      <w:r>
        <w:tab/>
        <w:t xml:space="preserve">Current Indicators: </w:t>
      </w:r>
    </w:p>
    <w:p w14:paraId="5DBF4678" w14:textId="2A0CDC6B" w:rsidR="00BC3A79" w:rsidRDefault="00BC3A79" w:rsidP="00BC3A79">
      <w:r>
        <w:t xml:space="preserve">County </w:t>
      </w:r>
      <w:r w:rsidR="001F5ADE">
        <w:t>l</w:t>
      </w:r>
      <w:r>
        <w:t xml:space="preserve">evel </w:t>
      </w:r>
      <w:r w:rsidR="001F5ADE">
        <w:t>o</w:t>
      </w:r>
      <w:r>
        <w:t>verdose</w:t>
      </w:r>
      <w:r w:rsidR="001F5ADE">
        <w:t xml:space="preserve"> deaths</w:t>
      </w:r>
      <w:r>
        <w:t xml:space="preserve"> (Mississippi Bureau of Narcotics)</w:t>
      </w:r>
    </w:p>
    <w:p w14:paraId="66930CD2" w14:textId="77777777" w:rsidR="001F5ADE" w:rsidRDefault="00BC3A79" w:rsidP="00BC3A79">
      <w:r>
        <w:t xml:space="preserve">Hepatitis C </w:t>
      </w:r>
      <w:r w:rsidR="001F5ADE">
        <w:t>(Mississippi STD / HIV Program)</w:t>
      </w:r>
    </w:p>
    <w:p w14:paraId="7EA68B89" w14:textId="77777777" w:rsidR="009A3D6B" w:rsidRDefault="001F5ADE" w:rsidP="00BC3A79">
      <w:r>
        <w:t xml:space="preserve">Opioid </w:t>
      </w:r>
      <w:r w:rsidR="009A3D6B">
        <w:t>prescription rate by county (NSPARC report)</w:t>
      </w:r>
    </w:p>
    <w:p w14:paraId="3B5DD0D7" w14:textId="77777777" w:rsidR="00D952E3" w:rsidRDefault="009A3D6B" w:rsidP="00BC3A79">
      <w:r>
        <w:t xml:space="preserve">Drug related arrests by county (Mississippi </w:t>
      </w:r>
      <w:r w:rsidR="00D952E3">
        <w:t>Bureau of Narcotics)</w:t>
      </w:r>
    </w:p>
    <w:p w14:paraId="7840EF67" w14:textId="1A3E5379" w:rsidR="00BC3A79" w:rsidRDefault="00D952E3" w:rsidP="00BC3A79">
      <w:r>
        <w:t>Per capita income (American Community Survey)</w:t>
      </w:r>
      <w:r w:rsidR="00BC3A79">
        <w:br w:type="page"/>
      </w:r>
    </w:p>
    <w:p w14:paraId="4C0FAD4F" w14:textId="77777777" w:rsidR="0096649A" w:rsidRDefault="0096649A" w:rsidP="0096649A">
      <w:pPr>
        <w:pStyle w:val="Standard"/>
      </w:pPr>
      <w:r>
        <w:lastRenderedPageBreak/>
        <w:t>Per capita Income</w:t>
      </w:r>
    </w:p>
    <w:p w14:paraId="107885DF" w14:textId="77777777" w:rsidR="0096649A" w:rsidRDefault="0096649A" w:rsidP="0096649A">
      <w:pPr>
        <w:pStyle w:val="Standard"/>
      </w:pPr>
    </w:p>
    <w:p w14:paraId="7AB46B23" w14:textId="77777777" w:rsidR="0096649A" w:rsidRDefault="0096649A" w:rsidP="0096649A">
      <w:pPr>
        <w:pStyle w:val="Standard"/>
      </w:pPr>
      <w:r>
        <w:t>Topic: Demographics</w:t>
      </w:r>
    </w:p>
    <w:p w14:paraId="767F2794" w14:textId="77777777" w:rsidR="0096649A" w:rsidRDefault="0096649A" w:rsidP="0096649A">
      <w:pPr>
        <w:pStyle w:val="Standard"/>
      </w:pPr>
      <w:r>
        <w:t>Data Source: American Community Survey</w:t>
      </w:r>
    </w:p>
    <w:p w14:paraId="071E615D" w14:textId="77777777" w:rsidR="0096649A" w:rsidRDefault="0096649A" w:rsidP="0096649A">
      <w:pPr>
        <w:pStyle w:val="Standard"/>
      </w:pPr>
      <w:r>
        <w:t>Maintained: US Census Bureau</w:t>
      </w:r>
    </w:p>
    <w:p w14:paraId="3389E55B" w14:textId="77777777" w:rsidR="0096649A" w:rsidRDefault="0096649A" w:rsidP="0096649A">
      <w:pPr>
        <w:pStyle w:val="Standard"/>
      </w:pPr>
      <w:r>
        <w:t>Accessibility: Public</w:t>
      </w:r>
    </w:p>
    <w:p w14:paraId="4C30B338" w14:textId="77777777" w:rsidR="0096649A" w:rsidRDefault="0096649A" w:rsidP="0096649A">
      <w:pPr>
        <w:pStyle w:val="Standard"/>
      </w:pPr>
      <w:r>
        <w:t xml:space="preserve">Example URL: </w:t>
      </w:r>
      <w:hyperlink r:id="rId4" w:history="1">
        <w:r>
          <w:t>https://www.census.gov/programs-surveys/acs</w:t>
        </w:r>
      </w:hyperlink>
    </w:p>
    <w:p w14:paraId="0358390C" w14:textId="77777777" w:rsidR="0096649A" w:rsidRDefault="0096649A" w:rsidP="0096649A">
      <w:pPr>
        <w:pStyle w:val="Standard"/>
      </w:pPr>
      <w:r>
        <w:t xml:space="preserve">Years available: </w:t>
      </w:r>
      <w:proofErr w:type="gramStart"/>
      <w:r>
        <w:t>Five year</w:t>
      </w:r>
      <w:proofErr w:type="gramEnd"/>
      <w:r>
        <w:t xml:space="preserve"> estimates at county level, annualized, 2000-2017</w:t>
      </w:r>
    </w:p>
    <w:p w14:paraId="6A9142B2" w14:textId="77777777" w:rsidR="0096649A" w:rsidRDefault="0096649A" w:rsidP="0096649A">
      <w:pPr>
        <w:pStyle w:val="Standard"/>
      </w:pPr>
    </w:p>
    <w:p w14:paraId="61B88F7D" w14:textId="77777777" w:rsidR="0096649A" w:rsidRDefault="0096649A" w:rsidP="0096649A">
      <w:pPr>
        <w:pStyle w:val="Standard"/>
      </w:pPr>
      <w:r>
        <w:t xml:space="preserve">Summary: the American Community Survey (ACS) has county level data on </w:t>
      </w:r>
      <w:proofErr w:type="gramStart"/>
      <w:r>
        <w:t>a number of</w:t>
      </w:r>
      <w:proofErr w:type="gramEnd"/>
      <w:r>
        <w:t xml:space="preserve"> subject areas, including education, employment, income, race and ethnicity.  Depending on county size, this information may only be available as five-year estimates.  Because ACS data is available to the public, collected on a regular basis, and available at the county level, it can form a basic core set of indicators that every state and jurisdiction health department can use to assess county level vulnerability.  ACS data is available at the Census Tract level for </w:t>
      </w:r>
      <w:hyperlink r:id="rId5" w:history="1">
        <w:r>
          <w:t>larger counties that want to target sub-county areas</w:t>
        </w:r>
      </w:hyperlink>
      <w:r>
        <w:t>.</w:t>
      </w:r>
    </w:p>
    <w:p w14:paraId="00658CAD" w14:textId="77777777" w:rsidR="0096649A" w:rsidRDefault="0096649A" w:rsidP="0096649A">
      <w:pPr>
        <w:pStyle w:val="Standard"/>
      </w:pPr>
    </w:p>
    <w:p w14:paraId="52D2694A" w14:textId="77777777" w:rsidR="0096649A" w:rsidRDefault="0096649A" w:rsidP="0096649A">
      <w:pPr>
        <w:pStyle w:val="Standard"/>
      </w:pPr>
      <w:r>
        <w:t xml:space="preserve">Core: S1901 – Income in the Past 12 Months – 2017 ACS Five Year Estimates – Available from </w:t>
      </w:r>
      <w:proofErr w:type="spellStart"/>
      <w:proofErr w:type="gramStart"/>
      <w:r>
        <w:t>Tsuro</w:t>
      </w:r>
      <w:proofErr w:type="spellEnd"/>
      <w:r>
        <w:t xml:space="preserve">  (</w:t>
      </w:r>
      <w:proofErr w:type="gramEnd"/>
      <w:r>
        <w:t>April 2019)</w:t>
      </w:r>
    </w:p>
    <w:p w14:paraId="6D1E2EAC" w14:textId="77777777" w:rsidR="0096649A" w:rsidRDefault="0096649A" w:rsidP="0096649A">
      <w:pPr>
        <w:pStyle w:val="Standard"/>
      </w:pPr>
    </w:p>
    <w:p w14:paraId="5A8F71DA" w14:textId="5FD4A6C7" w:rsidR="0096649A" w:rsidRDefault="002C13D8" w:rsidP="00043323">
      <w:r>
        <w:rPr>
          <w:noProof/>
        </w:rPr>
        <w:drawing>
          <wp:inline distT="0" distB="0" distL="0" distR="0" wp14:anchorId="7C0F06F1" wp14:editId="50287872">
            <wp:extent cx="5943600" cy="3343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343275"/>
                    </a:xfrm>
                    <a:prstGeom prst="rect">
                      <a:avLst/>
                    </a:prstGeom>
                  </pic:spPr>
                </pic:pic>
              </a:graphicData>
            </a:graphic>
          </wp:inline>
        </w:drawing>
      </w:r>
    </w:p>
    <w:p w14:paraId="1AE119EC" w14:textId="28231F53" w:rsidR="00EF6F0A" w:rsidRDefault="00A3596C">
      <w:hyperlink r:id="rId7" w:history="1">
        <w:r w:rsidR="002C13D8">
          <w:rPr>
            <w:rStyle w:val="Hyperlink"/>
          </w:rPr>
          <w:t>https://app.powerbi.com/view?r=eyJrIjoiMzAxMjgyZmMtZmVjYi00ZDU2LTgyOGMtYzFhOWExNzE1MDRiIiwidCI6IjcxZjNhYTMyLTg2NTYtNGU4Yi1iMTUxLTBkNWEwYjBkMjhiMCJ9</w:t>
        </w:r>
      </w:hyperlink>
    </w:p>
    <w:p w14:paraId="66757DEE" w14:textId="446CF7F1" w:rsidR="009B6335" w:rsidRDefault="009B6335">
      <w:r>
        <w:br w:type="page"/>
      </w:r>
    </w:p>
    <w:p w14:paraId="2370A248" w14:textId="3C58CEA6" w:rsidR="009B6335" w:rsidRDefault="009B6335">
      <w:r>
        <w:lastRenderedPageBreak/>
        <w:t>County Level Overdose Deaths</w:t>
      </w:r>
    </w:p>
    <w:p w14:paraId="0272D8A5" w14:textId="35DE00EE" w:rsidR="009B6335" w:rsidRDefault="009B6335" w:rsidP="009B6335">
      <w:pPr>
        <w:pStyle w:val="Standard"/>
      </w:pPr>
      <w:r>
        <w:t>Topic: Mortality</w:t>
      </w:r>
      <w:r w:rsidR="004A4D39">
        <w:t xml:space="preserve"> / Crime</w:t>
      </w:r>
    </w:p>
    <w:p w14:paraId="0AEDE01A" w14:textId="113B9DF3" w:rsidR="009B6335" w:rsidRDefault="009B6335" w:rsidP="009B6335">
      <w:pPr>
        <w:pStyle w:val="Standard"/>
      </w:pPr>
      <w:r>
        <w:t xml:space="preserve">Data Source: </w:t>
      </w:r>
      <w:r w:rsidR="008C0470">
        <w:t xml:space="preserve">Mississippi </w:t>
      </w:r>
      <w:r w:rsidR="00611C98">
        <w:t>– Bureau of Narcotics</w:t>
      </w:r>
      <w:r w:rsidR="00F651B4">
        <w:t xml:space="preserve"> – Table 5</w:t>
      </w:r>
      <w:r w:rsidR="00AD54FE">
        <w:t xml:space="preserve"> (Mortality and Arrests)</w:t>
      </w:r>
    </w:p>
    <w:p w14:paraId="62BAF4BA" w14:textId="2C4C739B" w:rsidR="009B6335" w:rsidRDefault="009B6335" w:rsidP="009B6335">
      <w:pPr>
        <w:pStyle w:val="Standard"/>
      </w:pPr>
      <w:r>
        <w:t xml:space="preserve">Maintained: </w:t>
      </w:r>
      <w:r w:rsidR="00611C98">
        <w:t xml:space="preserve">Mississippi </w:t>
      </w:r>
      <w:r w:rsidR="00470563">
        <w:t xml:space="preserve">Opioid and Heroin Data Collaborative </w:t>
      </w:r>
    </w:p>
    <w:p w14:paraId="1C872C95" w14:textId="7295F14E" w:rsidR="009B6335" w:rsidRDefault="0021356A" w:rsidP="009B6335">
      <w:pPr>
        <w:pStyle w:val="Standard"/>
      </w:pPr>
      <w:r>
        <w:t xml:space="preserve">Document Name: </w:t>
      </w:r>
      <w:r w:rsidR="00D817FA">
        <w:t>Mississippi Opioid and Heroin Data Collaborative</w:t>
      </w:r>
      <w:r w:rsidR="004715D9">
        <w:t xml:space="preserve"> – Provision Data Report – Calendar Year 2018</w:t>
      </w:r>
    </w:p>
    <w:p w14:paraId="08C6081B" w14:textId="001722C0" w:rsidR="009B6335" w:rsidRDefault="009B6335" w:rsidP="009B6335">
      <w:pPr>
        <w:pStyle w:val="Standard"/>
      </w:pPr>
      <w:r>
        <w:t xml:space="preserve">Years available: </w:t>
      </w:r>
      <w:r w:rsidR="00130727">
        <w:t>20</w:t>
      </w:r>
      <w:r w:rsidR="00FA261C">
        <w:t>18</w:t>
      </w:r>
    </w:p>
    <w:p w14:paraId="3479C133" w14:textId="7C569CD6" w:rsidR="00636378" w:rsidRDefault="00636378" w:rsidP="009B6335">
      <w:pPr>
        <w:pStyle w:val="Standard"/>
        <w:rPr>
          <w:rFonts w:ascii="Calibri" w:hAnsi="Calibri" w:cs="Calibri"/>
          <w:color w:val="C82613"/>
          <w:sz w:val="22"/>
          <w:szCs w:val="22"/>
          <w:shd w:val="clear" w:color="auto" w:fill="FFFFFF"/>
        </w:rPr>
      </w:pPr>
      <w:r>
        <w:t>Comment from Meg: “</w:t>
      </w:r>
      <w:r>
        <w:rPr>
          <w:rFonts w:ascii="Calibri" w:hAnsi="Calibri" w:cs="Calibri"/>
          <w:color w:val="C82613"/>
          <w:sz w:val="22"/>
          <w:szCs w:val="22"/>
          <w:shd w:val="clear" w:color="auto" w:fill="FFFFFF"/>
        </w:rPr>
        <w:t>This is provisional data from the Mississippi Bureau of Narcotics.  We have no way to validate these data.  We do know that for CY2017, MBN reported 255 suspected overdose deaths while Vital Records reported 346 drug overdose deaths.”</w:t>
      </w:r>
    </w:p>
    <w:p w14:paraId="21CBC7B0" w14:textId="0373CFB5" w:rsidR="00636378" w:rsidRDefault="00636378" w:rsidP="00636378">
      <w:r>
        <w:t xml:space="preserve">Data Wrangling Notes: </w:t>
      </w:r>
      <w:r w:rsidR="00670E67">
        <w:t>PDF table was cut and paste using spreadsheet</w:t>
      </w:r>
      <w:r w:rsidR="00E12D36">
        <w:t xml:space="preserve"> operations.  </w:t>
      </w:r>
    </w:p>
    <w:p w14:paraId="0CF410CC" w14:textId="20105701" w:rsidR="008561FA" w:rsidRDefault="008561FA" w:rsidP="00636378">
      <w:r>
        <w:t xml:space="preserve">Notes: </w:t>
      </w:r>
      <w:r w:rsidR="00940047">
        <w:t>Suspected overdose deaths are reported to Mississippi Bureau of Narcotics</w:t>
      </w:r>
      <w:r w:rsidR="003357E1">
        <w:t xml:space="preserve"> (MBN).  MBN deaths are not added to the count until toxicology reports are completed.  As Meg notes, these numbers are different from those from vital statistics</w:t>
      </w:r>
      <w:r w:rsidR="00EF1341">
        <w:t>, which relies on the professional opinions of coroners / medical examiners vs a completed toxicology report.</w:t>
      </w:r>
    </w:p>
    <w:p w14:paraId="2DE67D15" w14:textId="6635D999" w:rsidR="00E4304C" w:rsidRDefault="00E4304C" w:rsidP="00636378">
      <w:r>
        <w:t xml:space="preserve">Mississippi maps absolute values of deaths, instead of rates.  </w:t>
      </w:r>
      <w:r w:rsidR="009C7861">
        <w:t>We used population estimates to get crude rates.</w:t>
      </w:r>
    </w:p>
    <w:p w14:paraId="02280943" w14:textId="63CCBE0C" w:rsidR="00084121" w:rsidRDefault="00084121" w:rsidP="00636378">
      <w:r>
        <w:rPr>
          <w:noProof/>
        </w:rPr>
        <w:drawing>
          <wp:inline distT="0" distB="0" distL="0" distR="0" wp14:anchorId="40A3BEDB" wp14:editId="26F031C7">
            <wp:extent cx="4583430" cy="257817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587508" cy="2580473"/>
                    </a:xfrm>
                    <a:prstGeom prst="rect">
                      <a:avLst/>
                    </a:prstGeom>
                  </pic:spPr>
                </pic:pic>
              </a:graphicData>
            </a:graphic>
          </wp:inline>
        </w:drawing>
      </w:r>
    </w:p>
    <w:p w14:paraId="22FA96AB" w14:textId="44C41138" w:rsidR="00AD1B8B" w:rsidRDefault="00AD1B8B">
      <w:r>
        <w:br w:type="page"/>
      </w:r>
    </w:p>
    <w:p w14:paraId="0660FD0B" w14:textId="24CED212" w:rsidR="00AD1B8B" w:rsidRDefault="00AD1B8B" w:rsidP="00AD1B8B">
      <w:r>
        <w:lastRenderedPageBreak/>
        <w:t xml:space="preserve">County Level Drug Arrests </w:t>
      </w:r>
    </w:p>
    <w:p w14:paraId="51D844DE" w14:textId="76646400" w:rsidR="00AD1B8B" w:rsidRDefault="00AD1B8B" w:rsidP="00AD1B8B">
      <w:pPr>
        <w:pStyle w:val="Standard"/>
      </w:pPr>
      <w:r>
        <w:t>Topic: Crime</w:t>
      </w:r>
    </w:p>
    <w:p w14:paraId="70D6E97D" w14:textId="77777777" w:rsidR="00AD1B8B" w:rsidRDefault="00AD1B8B" w:rsidP="00AD1B8B">
      <w:pPr>
        <w:pStyle w:val="Standard"/>
      </w:pPr>
      <w:r>
        <w:t>Data Source: Mississippi – Bureau of Narcotics – Table 5 (Mortality and Arrests)</w:t>
      </w:r>
    </w:p>
    <w:p w14:paraId="7FC84F60" w14:textId="2B517B81" w:rsidR="00AD1B8B" w:rsidRDefault="00AD1B8B" w:rsidP="00AD1B8B">
      <w:pPr>
        <w:pStyle w:val="Standard"/>
      </w:pPr>
      <w:r>
        <w:t xml:space="preserve">Maintained: Mississippi Opioid and Heroin Data Collaborative </w:t>
      </w:r>
    </w:p>
    <w:p w14:paraId="29759698" w14:textId="77777777" w:rsidR="009E74C6" w:rsidRDefault="009E74C6" w:rsidP="009E74C6">
      <w:pPr>
        <w:pStyle w:val="Standard"/>
      </w:pPr>
      <w:r>
        <w:t>Document Name: Mississippi Opioid and Heroin Data Collaborative – Provision Data Report – Calendar Year 2018</w:t>
      </w:r>
    </w:p>
    <w:p w14:paraId="55B201CA" w14:textId="77777777" w:rsidR="00AD1B8B" w:rsidRDefault="00AD1B8B" w:rsidP="00AD1B8B">
      <w:pPr>
        <w:pStyle w:val="Standard"/>
      </w:pPr>
      <w:r>
        <w:t>Years available: 2018</w:t>
      </w:r>
    </w:p>
    <w:p w14:paraId="28FB951A" w14:textId="77777777" w:rsidR="00AD1B8B" w:rsidRDefault="00AD1B8B" w:rsidP="00AD1B8B">
      <w:pPr>
        <w:pStyle w:val="Standard"/>
        <w:rPr>
          <w:rFonts w:ascii="Calibri" w:hAnsi="Calibri" w:cs="Calibri"/>
          <w:color w:val="C82613"/>
          <w:sz w:val="22"/>
          <w:szCs w:val="22"/>
          <w:shd w:val="clear" w:color="auto" w:fill="FFFFFF"/>
        </w:rPr>
      </w:pPr>
      <w:r>
        <w:t>Comment from Meg: “</w:t>
      </w:r>
      <w:r>
        <w:rPr>
          <w:rFonts w:ascii="Calibri" w:hAnsi="Calibri" w:cs="Calibri"/>
          <w:color w:val="C82613"/>
          <w:sz w:val="22"/>
          <w:szCs w:val="22"/>
          <w:shd w:val="clear" w:color="auto" w:fill="FFFFFF"/>
        </w:rPr>
        <w:t>This is provisional data from the Mississippi Bureau of Narcotics.  We have no way to validate these data.  We do know that for CY2017, MBN reported 255 suspected overdose deaths while Vital Records reported 346 drug overdose deaths.”</w:t>
      </w:r>
    </w:p>
    <w:p w14:paraId="5693BD71" w14:textId="182D8151" w:rsidR="00AD1B8B" w:rsidRDefault="00AD1B8B" w:rsidP="00AD1B8B">
      <w:r>
        <w:t xml:space="preserve">Data Wrangling Notes: PDF table was cut and paste using spreadsheet operations.  </w:t>
      </w:r>
    </w:p>
    <w:p w14:paraId="24C6C909" w14:textId="330795B0" w:rsidR="004F6F10" w:rsidRDefault="004F6F10" w:rsidP="00AD1B8B">
      <w:r>
        <w:t xml:space="preserve">Notes: </w:t>
      </w:r>
      <w:r w:rsidR="009C2389">
        <w:t xml:space="preserve">Many counties had zero arrests reported.  Without knowing the exact situation in Mississippi, </w:t>
      </w:r>
      <w:r w:rsidR="00274F47">
        <w:t xml:space="preserve">it matters if this is due to lack of crime or </w:t>
      </w:r>
      <w:r w:rsidR="00B420D1">
        <w:t xml:space="preserve">due to lack of reporting.  If small counties lack the resources to participate in drug reporting systems, </w:t>
      </w:r>
      <w:r w:rsidR="001B73FA">
        <w:t xml:space="preserve">it may be reasonable to assume that </w:t>
      </w:r>
      <w:r w:rsidR="006544FE">
        <w:t xml:space="preserve">arrests give a </w:t>
      </w:r>
      <w:proofErr w:type="gramStart"/>
      <w:r w:rsidR="006544FE">
        <w:t>fairly complete</w:t>
      </w:r>
      <w:proofErr w:type="gramEnd"/>
      <w:r w:rsidR="006544FE">
        <w:t xml:space="preserve"> picture of reporting in Mississippi, even if some counties are missing.</w:t>
      </w:r>
    </w:p>
    <w:p w14:paraId="30D56A6F" w14:textId="77777777" w:rsidR="009B6335" w:rsidRDefault="009B6335"/>
    <w:p w14:paraId="1072E75D" w14:textId="3B6C0FCE" w:rsidR="003F6B5A" w:rsidRDefault="003F6B5A">
      <w:r>
        <w:rPr>
          <w:noProof/>
        </w:rPr>
        <w:drawing>
          <wp:inline distT="0" distB="0" distL="0" distR="0" wp14:anchorId="1D2C7D15" wp14:editId="0200B288">
            <wp:extent cx="4865370" cy="2736771"/>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871179" cy="2740039"/>
                    </a:xfrm>
                    <a:prstGeom prst="rect">
                      <a:avLst/>
                    </a:prstGeom>
                  </pic:spPr>
                </pic:pic>
              </a:graphicData>
            </a:graphic>
          </wp:inline>
        </w:drawing>
      </w:r>
    </w:p>
    <w:p w14:paraId="3BA72C46" w14:textId="009ADFD6" w:rsidR="00F428C1" w:rsidRDefault="00F428C1">
      <w:r>
        <w:br w:type="page"/>
      </w:r>
    </w:p>
    <w:p w14:paraId="4F884CE3" w14:textId="720228FF" w:rsidR="00F428C1" w:rsidRDefault="00900F3B" w:rsidP="00F428C1">
      <w:r>
        <w:lastRenderedPageBreak/>
        <w:t>Hepatitis C</w:t>
      </w:r>
    </w:p>
    <w:p w14:paraId="3AFA92E2" w14:textId="6A8814AB" w:rsidR="00F428C1" w:rsidRDefault="00F428C1" w:rsidP="00F428C1">
      <w:pPr>
        <w:pStyle w:val="Standard"/>
      </w:pPr>
      <w:r>
        <w:t xml:space="preserve">Topic: </w:t>
      </w:r>
      <w:r w:rsidR="00900F3B">
        <w:t>Outcomes – Hep C</w:t>
      </w:r>
    </w:p>
    <w:p w14:paraId="39E1A997" w14:textId="6F3E4A0C" w:rsidR="00F428C1" w:rsidRDefault="00F428C1" w:rsidP="00F428C1">
      <w:pPr>
        <w:pStyle w:val="Standard"/>
      </w:pPr>
      <w:r>
        <w:t xml:space="preserve">Data Source: Mississippi – </w:t>
      </w:r>
      <w:r w:rsidR="000C288C" w:rsidRPr="00990740">
        <w:rPr>
          <w:rFonts w:asciiTheme="majorHAnsi" w:hAnsiTheme="majorHAnsi"/>
        </w:rPr>
        <w:t>Patient Reporting Investigation Surveillance Manager</w:t>
      </w:r>
      <w:r w:rsidR="000C288C">
        <w:rPr>
          <w:rFonts w:asciiTheme="majorHAnsi" w:hAnsiTheme="majorHAnsi"/>
        </w:rPr>
        <w:t xml:space="preserve"> (PRISM)</w:t>
      </w:r>
    </w:p>
    <w:p w14:paraId="4FD53B73" w14:textId="26C1CAD5" w:rsidR="00A322A0" w:rsidRDefault="00F428C1" w:rsidP="00F428C1">
      <w:pPr>
        <w:pStyle w:val="Standard"/>
      </w:pPr>
      <w:r>
        <w:t xml:space="preserve">Maintained: Mississippi </w:t>
      </w:r>
      <w:r w:rsidR="00146840">
        <w:t>State Department of Health</w:t>
      </w:r>
    </w:p>
    <w:p w14:paraId="738F1F59" w14:textId="6E152D2C" w:rsidR="00A322A0" w:rsidRDefault="00A322A0" w:rsidP="00F428C1">
      <w:pPr>
        <w:pStyle w:val="Standard"/>
      </w:pPr>
      <w:r>
        <w:t xml:space="preserve">Document Name: </w:t>
      </w:r>
      <w:r w:rsidR="00EE1292">
        <w:t>Hepatitis C updated SA_2019</w:t>
      </w:r>
    </w:p>
    <w:p w14:paraId="4CDB7B68" w14:textId="14ED29A4" w:rsidR="00F428C1" w:rsidRDefault="00F428C1" w:rsidP="00F428C1">
      <w:pPr>
        <w:pStyle w:val="Standard"/>
      </w:pPr>
      <w:r>
        <w:t xml:space="preserve">Example URL: </w:t>
      </w:r>
      <w:hyperlink r:id="rId10" w:history="1"/>
      <w:r w:rsidR="00422AE1">
        <w:t>Table 2</w:t>
      </w:r>
    </w:p>
    <w:p w14:paraId="1B1A3088" w14:textId="103244EA" w:rsidR="00F428C1" w:rsidRDefault="00F428C1" w:rsidP="00F428C1">
      <w:pPr>
        <w:pStyle w:val="Standard"/>
      </w:pPr>
      <w:r>
        <w:t xml:space="preserve">Years available: </w:t>
      </w:r>
      <w:r w:rsidR="00B1484F">
        <w:t>2017,</w:t>
      </w:r>
      <w:r>
        <w:t>2018</w:t>
      </w:r>
    </w:p>
    <w:p w14:paraId="56C48C86" w14:textId="7E6B94E3" w:rsidR="00F428C1" w:rsidRDefault="00F428C1" w:rsidP="00F428C1">
      <w:pPr>
        <w:pStyle w:val="Standard"/>
        <w:rPr>
          <w:rFonts w:ascii="Calibri" w:hAnsi="Calibri" w:cs="Calibri"/>
          <w:color w:val="C82613"/>
          <w:sz w:val="22"/>
          <w:szCs w:val="22"/>
          <w:shd w:val="clear" w:color="auto" w:fill="FFFFFF"/>
        </w:rPr>
      </w:pPr>
      <w:r>
        <w:t xml:space="preserve">Comment from Meg: </w:t>
      </w:r>
      <w:proofErr w:type="gramStart"/>
      <w:r w:rsidR="007E6289">
        <w:t>“</w:t>
      </w:r>
      <w:r w:rsidR="007E6289">
        <w:rPr>
          <w:rFonts w:ascii="Calibri" w:hAnsi="Calibri" w:cs="Calibri"/>
          <w:color w:val="000000"/>
          <w:sz w:val="22"/>
          <w:szCs w:val="22"/>
          <w:shd w:val="clear" w:color="auto" w:fill="FFFFFF"/>
        </w:rPr>
        <w:t> </w:t>
      </w:r>
      <w:r w:rsidR="007E6289">
        <w:rPr>
          <w:rFonts w:ascii="Calibri" w:hAnsi="Calibri" w:cs="Calibri"/>
          <w:color w:val="C82613"/>
          <w:sz w:val="22"/>
          <w:szCs w:val="22"/>
          <w:shd w:val="clear" w:color="auto" w:fill="FFFFFF"/>
        </w:rPr>
        <w:t>it</w:t>
      </w:r>
      <w:proofErr w:type="gramEnd"/>
      <w:r w:rsidR="007E6289">
        <w:rPr>
          <w:rFonts w:ascii="Calibri" w:hAnsi="Calibri" w:cs="Calibri"/>
          <w:color w:val="C82613"/>
          <w:sz w:val="22"/>
          <w:szCs w:val="22"/>
          <w:shd w:val="clear" w:color="auto" w:fill="FFFFFF"/>
        </w:rPr>
        <w:t xml:space="preserve"> was explained to me the these are not </w:t>
      </w:r>
      <w:r w:rsidR="007E6289">
        <w:rPr>
          <w:rStyle w:val="il"/>
          <w:rFonts w:ascii="Calibri" w:hAnsi="Calibri" w:cs="Calibri"/>
          <w:color w:val="C82613"/>
          <w:sz w:val="22"/>
          <w:szCs w:val="22"/>
          <w:shd w:val="clear" w:color="auto" w:fill="FFFFFF"/>
        </w:rPr>
        <w:t>Mississippi</w:t>
      </w:r>
      <w:r w:rsidR="007E6289">
        <w:rPr>
          <w:rFonts w:ascii="Calibri" w:hAnsi="Calibri" w:cs="Calibri"/>
          <w:color w:val="C82613"/>
          <w:sz w:val="22"/>
          <w:szCs w:val="22"/>
          <w:shd w:val="clear" w:color="auto" w:fill="FFFFFF"/>
        </w:rPr>
        <w:t>-specific data; rather, we used NHANES and other resources to estimate prevalence based on national data”</w:t>
      </w:r>
    </w:p>
    <w:p w14:paraId="5355A0FC" w14:textId="77777777" w:rsidR="007E6289" w:rsidRDefault="00F428C1" w:rsidP="00F428C1">
      <w:r>
        <w:t xml:space="preserve">Data Wrangling Notes: </w:t>
      </w:r>
      <w:r w:rsidR="007E6289">
        <w:t>Word table was cut and paste to Excel spreadsheet.</w:t>
      </w:r>
    </w:p>
    <w:p w14:paraId="4D4FD695" w14:textId="7567BF3B" w:rsidR="00F428C1" w:rsidRDefault="009E74C6" w:rsidP="00F428C1">
      <w:r>
        <w:t>N</w:t>
      </w:r>
      <w:r w:rsidR="007E6289">
        <w:t xml:space="preserve">otes: </w:t>
      </w:r>
      <w:r w:rsidR="00BA12DC">
        <w:t>The currently mapped data comes from the Mississippi Patient Reporting Investigation Surveillance Manager (PRISM)</w:t>
      </w:r>
      <w:r w:rsidR="00AA54B4">
        <w:t>, a “centralized data management system specifically designed for STD investigation and surveillance</w:t>
      </w:r>
      <w:r w:rsidR="00BA12DC">
        <w:t>.</w:t>
      </w:r>
      <w:r w:rsidR="00AA54B4">
        <w:t>”</w:t>
      </w:r>
      <w:r w:rsidR="00BA12DC">
        <w:t xml:space="preserve">  </w:t>
      </w:r>
      <w:r w:rsidR="00B1059C">
        <w:t xml:space="preserve">According to the document “the biggest barrier has been sporadic entry of lab results due to limited focused </w:t>
      </w:r>
      <w:r w:rsidR="00713574">
        <w:t xml:space="preserve">resources.”  </w:t>
      </w:r>
      <w:r w:rsidR="004B04EA">
        <w:t>The table in the map below does come directly from Mississippi data.</w:t>
      </w:r>
    </w:p>
    <w:p w14:paraId="2820323F" w14:textId="52CBAF17" w:rsidR="004B04EA" w:rsidRDefault="004B04EA" w:rsidP="00F428C1">
      <w:r>
        <w:t xml:space="preserve">In my (Cody Custis) professional view, </w:t>
      </w:r>
      <w:proofErr w:type="gramStart"/>
      <w:r>
        <w:t>as long as</w:t>
      </w:r>
      <w:proofErr w:type="gramEnd"/>
      <w:r>
        <w:t xml:space="preserve"> PRISM data is consistently reported</w:t>
      </w:r>
      <w:r w:rsidR="00E20567">
        <w:t xml:space="preserve">, even if it is an underreported, it is a useful outcome for Hepatitis C modeling and </w:t>
      </w:r>
      <w:r w:rsidR="00A06F3B">
        <w:t xml:space="preserve">surveillance.  While it does not represent all individuals with Hepatitis C, it does represent </w:t>
      </w:r>
      <w:r w:rsidR="00FE1633">
        <w:t>clinical events that lead to reporting.</w:t>
      </w:r>
      <w:r w:rsidR="001F77E8">
        <w:t xml:space="preserve">  Knowing if Hepatitis C </w:t>
      </w:r>
      <w:r w:rsidR="00453439">
        <w:t>clinical events are more associated with acute vs non-acute would make for more useful o</w:t>
      </w:r>
      <w:r w:rsidR="00347AF2">
        <w:t>utbreak detection.</w:t>
      </w:r>
    </w:p>
    <w:p w14:paraId="5A8C0FEA" w14:textId="5519BDCB" w:rsidR="009E74C6" w:rsidRDefault="006E30FF" w:rsidP="00F428C1">
      <w:r>
        <w:t xml:space="preserve">Mississippi also includes </w:t>
      </w:r>
      <w:proofErr w:type="gramStart"/>
      <w:r>
        <w:t>an</w:t>
      </w:r>
      <w:proofErr w:type="gramEnd"/>
      <w:r>
        <w:t xml:space="preserve"> National Health and Nutrition Examination Survey (NHANES) estimate of Hepatitis C, </w:t>
      </w:r>
      <w:r w:rsidR="00002E55">
        <w:t xml:space="preserve">based on NHANES prevalence estimates (1.2% and 1.5%) and population.  While these estimates may be useful for </w:t>
      </w:r>
      <w:r w:rsidR="00993776">
        <w:t xml:space="preserve">allocating resources or making providers aware, because every county has the same underlying rate (1.2% or 1.5%) they are not useful in determining which Mississippi counties have </w:t>
      </w:r>
      <w:r w:rsidR="000E160F">
        <w:t xml:space="preserve">increased Hepatitis C for modeling or surveillance.  </w:t>
      </w:r>
    </w:p>
    <w:p w14:paraId="469BEF4D" w14:textId="53295CE8" w:rsidR="006F218B" w:rsidRDefault="006F218B" w:rsidP="00F428C1">
      <w:r>
        <w:rPr>
          <w:noProof/>
        </w:rPr>
        <w:drawing>
          <wp:inline distT="0" distB="0" distL="0" distR="0" wp14:anchorId="74DE1FFF" wp14:editId="15FE0506">
            <wp:extent cx="4838700" cy="2721769"/>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841680" cy="2723445"/>
                    </a:xfrm>
                    <a:prstGeom prst="rect">
                      <a:avLst/>
                    </a:prstGeom>
                  </pic:spPr>
                </pic:pic>
              </a:graphicData>
            </a:graphic>
          </wp:inline>
        </w:drawing>
      </w:r>
    </w:p>
    <w:p w14:paraId="76153EFF" w14:textId="6E1DFA30" w:rsidR="0087690D" w:rsidRDefault="0087690D" w:rsidP="0087690D">
      <w:pPr>
        <w:rPr>
          <w:rFonts w:asciiTheme="majorHAnsi" w:hAnsiTheme="majorHAnsi"/>
          <w:b/>
          <w:sz w:val="24"/>
          <w:szCs w:val="24"/>
        </w:rPr>
      </w:pPr>
      <w:r w:rsidRPr="004C5E86">
        <w:rPr>
          <w:rFonts w:asciiTheme="majorHAnsi" w:hAnsiTheme="majorHAnsi"/>
          <w:b/>
          <w:sz w:val="24"/>
          <w:szCs w:val="24"/>
        </w:rPr>
        <w:lastRenderedPageBreak/>
        <w:t>Table 2: Hepatitis C Reports i</w:t>
      </w:r>
      <w:r>
        <w:rPr>
          <w:rFonts w:asciiTheme="majorHAnsi" w:hAnsiTheme="majorHAnsi"/>
          <w:b/>
          <w:sz w:val="24"/>
          <w:szCs w:val="24"/>
        </w:rPr>
        <w:t>n Mississippi by County (# Reports</w:t>
      </w:r>
      <w:r w:rsidRPr="004C5E86">
        <w:rPr>
          <w:rFonts w:asciiTheme="majorHAnsi" w:hAnsiTheme="majorHAnsi"/>
          <w:b/>
          <w:sz w:val="24"/>
          <w:szCs w:val="24"/>
        </w:rPr>
        <w:t xml:space="preserve"> </w:t>
      </w:r>
      <w:r>
        <w:rPr>
          <w:rFonts w:asciiTheme="majorHAnsi" w:hAnsiTheme="majorHAnsi"/>
          <w:b/>
          <w:sz w:val="24"/>
          <w:szCs w:val="24"/>
        </w:rPr>
        <w:t>and Rate per 100,000), 2017-2018</w:t>
      </w:r>
    </w:p>
    <w:tbl>
      <w:tblPr>
        <w:tblW w:w="5240" w:type="dxa"/>
        <w:jc w:val="center"/>
        <w:tblLook w:val="04A0" w:firstRow="1" w:lastRow="0" w:firstColumn="1" w:lastColumn="0" w:noHBand="0" w:noVBand="1"/>
      </w:tblPr>
      <w:tblGrid>
        <w:gridCol w:w="1400"/>
        <w:gridCol w:w="995"/>
        <w:gridCol w:w="925"/>
        <w:gridCol w:w="995"/>
        <w:gridCol w:w="925"/>
      </w:tblGrid>
      <w:tr w:rsidR="0087690D" w:rsidRPr="006F5DFE" w14:paraId="2DFC2397" w14:textId="77777777" w:rsidTr="00664C80">
        <w:trPr>
          <w:trHeight w:val="300"/>
          <w:jc w:val="center"/>
        </w:trPr>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1EC4EF" w14:textId="77777777" w:rsidR="0087690D" w:rsidRPr="006F5DFE" w:rsidRDefault="0087690D" w:rsidP="00664C80">
            <w:pPr>
              <w:spacing w:after="0" w:line="240" w:lineRule="auto"/>
              <w:rPr>
                <w:rFonts w:ascii="Calibri" w:eastAsia="Times New Roman" w:hAnsi="Calibri" w:cs="Times New Roman"/>
                <w:color w:val="000000"/>
              </w:rPr>
            </w:pPr>
            <w:r w:rsidRPr="006F5DFE">
              <w:rPr>
                <w:rFonts w:ascii="Calibri" w:eastAsia="Times New Roman" w:hAnsi="Calibri" w:cs="Times New Roman"/>
                <w:color w:val="000000"/>
              </w:rPr>
              <w:t> </w:t>
            </w:r>
          </w:p>
        </w:tc>
        <w:tc>
          <w:tcPr>
            <w:tcW w:w="1920" w:type="dxa"/>
            <w:gridSpan w:val="2"/>
            <w:tcBorders>
              <w:top w:val="single" w:sz="4" w:space="0" w:color="auto"/>
              <w:left w:val="nil"/>
              <w:bottom w:val="single" w:sz="4" w:space="0" w:color="auto"/>
              <w:right w:val="single" w:sz="4" w:space="0" w:color="auto"/>
            </w:tcBorders>
            <w:shd w:val="clear" w:color="000000" w:fill="B7DEE8"/>
            <w:noWrap/>
            <w:vAlign w:val="center"/>
            <w:hideMark/>
          </w:tcPr>
          <w:p w14:paraId="3F75C7E3" w14:textId="77777777" w:rsidR="0087690D" w:rsidRPr="006F5DFE" w:rsidRDefault="0087690D" w:rsidP="00664C80">
            <w:pPr>
              <w:spacing w:after="0" w:line="240" w:lineRule="auto"/>
              <w:jc w:val="center"/>
              <w:rPr>
                <w:rFonts w:ascii="Arial Narrow" w:eastAsia="Times New Roman" w:hAnsi="Arial Narrow" w:cs="Times New Roman"/>
                <w:b/>
                <w:bCs/>
                <w:color w:val="000000"/>
                <w:sz w:val="16"/>
                <w:szCs w:val="16"/>
                <w:u w:val="single"/>
              </w:rPr>
            </w:pPr>
            <w:r w:rsidRPr="006F5DFE">
              <w:rPr>
                <w:rFonts w:ascii="Arial Narrow" w:eastAsia="Times New Roman" w:hAnsi="Arial Narrow" w:cs="Times New Roman"/>
                <w:b/>
                <w:bCs/>
                <w:color w:val="000000"/>
                <w:sz w:val="16"/>
                <w:szCs w:val="16"/>
                <w:u w:val="single"/>
              </w:rPr>
              <w:t>2017</w:t>
            </w:r>
          </w:p>
        </w:tc>
        <w:tc>
          <w:tcPr>
            <w:tcW w:w="1920" w:type="dxa"/>
            <w:gridSpan w:val="2"/>
            <w:tcBorders>
              <w:top w:val="single" w:sz="4" w:space="0" w:color="auto"/>
              <w:left w:val="nil"/>
              <w:bottom w:val="single" w:sz="4" w:space="0" w:color="auto"/>
              <w:right w:val="single" w:sz="4" w:space="0" w:color="auto"/>
            </w:tcBorders>
            <w:shd w:val="clear" w:color="000000" w:fill="B7DEE8"/>
            <w:noWrap/>
            <w:vAlign w:val="center"/>
            <w:hideMark/>
          </w:tcPr>
          <w:p w14:paraId="248218BF" w14:textId="77777777" w:rsidR="0087690D" w:rsidRPr="006F5DFE" w:rsidRDefault="0087690D" w:rsidP="00664C80">
            <w:pPr>
              <w:spacing w:after="0" w:line="240" w:lineRule="auto"/>
              <w:jc w:val="center"/>
              <w:rPr>
                <w:rFonts w:ascii="Arial Narrow" w:eastAsia="Times New Roman" w:hAnsi="Arial Narrow" w:cs="Times New Roman"/>
                <w:b/>
                <w:bCs/>
                <w:color w:val="000000"/>
                <w:sz w:val="16"/>
                <w:szCs w:val="16"/>
                <w:u w:val="single"/>
              </w:rPr>
            </w:pPr>
            <w:r w:rsidRPr="006F5DFE">
              <w:rPr>
                <w:rFonts w:ascii="Arial Narrow" w:eastAsia="Times New Roman" w:hAnsi="Arial Narrow" w:cs="Times New Roman"/>
                <w:b/>
                <w:bCs/>
                <w:color w:val="000000"/>
                <w:sz w:val="16"/>
                <w:szCs w:val="16"/>
                <w:u w:val="single"/>
              </w:rPr>
              <w:t>2018</w:t>
            </w:r>
          </w:p>
        </w:tc>
      </w:tr>
      <w:tr w:rsidR="0087690D" w:rsidRPr="006F5DFE" w14:paraId="5BD45ACC"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000000" w:fill="B7DEE8"/>
            <w:noWrap/>
            <w:vAlign w:val="center"/>
            <w:hideMark/>
          </w:tcPr>
          <w:p w14:paraId="3CEE2748" w14:textId="77777777" w:rsidR="0087690D" w:rsidRPr="006F5DFE" w:rsidRDefault="0087690D" w:rsidP="00664C80">
            <w:pPr>
              <w:spacing w:after="0" w:line="240" w:lineRule="auto"/>
              <w:rPr>
                <w:rFonts w:ascii="Arial Narrow" w:eastAsia="Times New Roman" w:hAnsi="Arial Narrow" w:cs="Times New Roman"/>
                <w:b/>
                <w:bCs/>
                <w:color w:val="000000"/>
                <w:sz w:val="16"/>
                <w:szCs w:val="16"/>
                <w:u w:val="single"/>
              </w:rPr>
            </w:pPr>
            <w:r w:rsidRPr="006F5DFE">
              <w:rPr>
                <w:rFonts w:ascii="Arial Narrow" w:eastAsia="Times New Roman" w:hAnsi="Arial Narrow" w:cs="Times New Roman"/>
                <w:b/>
                <w:bCs/>
                <w:color w:val="000000"/>
                <w:sz w:val="16"/>
                <w:szCs w:val="16"/>
                <w:u w:val="single"/>
              </w:rPr>
              <w:t>County</w:t>
            </w:r>
          </w:p>
        </w:tc>
        <w:tc>
          <w:tcPr>
            <w:tcW w:w="995" w:type="dxa"/>
            <w:tcBorders>
              <w:top w:val="nil"/>
              <w:left w:val="nil"/>
              <w:bottom w:val="single" w:sz="4" w:space="0" w:color="auto"/>
              <w:right w:val="single" w:sz="4" w:space="0" w:color="auto"/>
            </w:tcBorders>
            <w:shd w:val="clear" w:color="000000" w:fill="F2F2F2"/>
            <w:noWrap/>
            <w:vAlign w:val="center"/>
            <w:hideMark/>
          </w:tcPr>
          <w:p w14:paraId="1765BD51" w14:textId="77777777" w:rsidR="0087690D" w:rsidRPr="006F5DFE" w:rsidRDefault="0087690D" w:rsidP="00664C80">
            <w:pPr>
              <w:spacing w:after="0" w:line="240" w:lineRule="auto"/>
              <w:jc w:val="right"/>
              <w:rPr>
                <w:rFonts w:ascii="Arial Narrow" w:eastAsia="Times New Roman" w:hAnsi="Arial Narrow" w:cs="Times New Roman"/>
                <w:b/>
                <w:bCs/>
                <w:color w:val="000000"/>
                <w:sz w:val="16"/>
                <w:szCs w:val="16"/>
                <w:u w:val="single"/>
              </w:rPr>
            </w:pPr>
            <w:r>
              <w:rPr>
                <w:rFonts w:ascii="Arial Narrow" w:eastAsia="Times New Roman" w:hAnsi="Arial Narrow" w:cs="Times New Roman"/>
                <w:b/>
                <w:bCs/>
                <w:color w:val="000000"/>
                <w:sz w:val="16"/>
                <w:szCs w:val="16"/>
                <w:u w:val="single"/>
              </w:rPr>
              <w:t>Reports</w:t>
            </w:r>
            <w:r w:rsidRPr="006F5DFE">
              <w:rPr>
                <w:rFonts w:ascii="Arial Narrow" w:eastAsia="Times New Roman" w:hAnsi="Arial Narrow" w:cs="Times New Roman"/>
                <w:b/>
                <w:bCs/>
                <w:color w:val="000000"/>
                <w:sz w:val="16"/>
                <w:szCs w:val="16"/>
                <w:u w:val="single"/>
              </w:rPr>
              <w:t xml:space="preserve"> </w:t>
            </w:r>
          </w:p>
        </w:tc>
        <w:tc>
          <w:tcPr>
            <w:tcW w:w="925" w:type="dxa"/>
            <w:tcBorders>
              <w:top w:val="nil"/>
              <w:left w:val="nil"/>
              <w:bottom w:val="single" w:sz="4" w:space="0" w:color="auto"/>
              <w:right w:val="single" w:sz="4" w:space="0" w:color="auto"/>
            </w:tcBorders>
            <w:shd w:val="clear" w:color="000000" w:fill="F2F2F2"/>
            <w:noWrap/>
            <w:vAlign w:val="center"/>
            <w:hideMark/>
          </w:tcPr>
          <w:p w14:paraId="351C7CD5" w14:textId="77777777" w:rsidR="0087690D" w:rsidRPr="006F5DFE" w:rsidRDefault="0087690D" w:rsidP="00664C80">
            <w:pPr>
              <w:spacing w:after="0" w:line="240" w:lineRule="auto"/>
              <w:jc w:val="right"/>
              <w:rPr>
                <w:rFonts w:ascii="Arial Narrow" w:eastAsia="Times New Roman" w:hAnsi="Arial Narrow" w:cs="Times New Roman"/>
                <w:b/>
                <w:bCs/>
                <w:color w:val="000000"/>
                <w:sz w:val="16"/>
                <w:szCs w:val="16"/>
                <w:u w:val="single"/>
              </w:rPr>
            </w:pPr>
            <w:r w:rsidRPr="006F5DFE">
              <w:rPr>
                <w:rFonts w:ascii="Arial Narrow" w:eastAsia="Times New Roman" w:hAnsi="Arial Narrow" w:cs="Times New Roman"/>
                <w:b/>
                <w:bCs/>
                <w:color w:val="000000"/>
                <w:sz w:val="16"/>
                <w:szCs w:val="16"/>
                <w:u w:val="single"/>
              </w:rPr>
              <w:t>Rates</w:t>
            </w:r>
          </w:p>
        </w:tc>
        <w:tc>
          <w:tcPr>
            <w:tcW w:w="995" w:type="dxa"/>
            <w:tcBorders>
              <w:top w:val="nil"/>
              <w:left w:val="nil"/>
              <w:bottom w:val="single" w:sz="4" w:space="0" w:color="auto"/>
              <w:right w:val="single" w:sz="4" w:space="0" w:color="auto"/>
            </w:tcBorders>
            <w:shd w:val="clear" w:color="000000" w:fill="F2F2F2"/>
            <w:noWrap/>
            <w:vAlign w:val="center"/>
            <w:hideMark/>
          </w:tcPr>
          <w:p w14:paraId="20EDB7E5" w14:textId="77777777" w:rsidR="0087690D" w:rsidRPr="006F5DFE" w:rsidRDefault="0087690D" w:rsidP="00664C80">
            <w:pPr>
              <w:spacing w:after="0" w:line="240" w:lineRule="auto"/>
              <w:jc w:val="right"/>
              <w:rPr>
                <w:rFonts w:ascii="Arial Narrow" w:eastAsia="Times New Roman" w:hAnsi="Arial Narrow" w:cs="Times New Roman"/>
                <w:b/>
                <w:bCs/>
                <w:color w:val="000000"/>
                <w:sz w:val="16"/>
                <w:szCs w:val="16"/>
                <w:u w:val="single"/>
              </w:rPr>
            </w:pPr>
            <w:r>
              <w:rPr>
                <w:rFonts w:ascii="Arial Narrow" w:eastAsia="Times New Roman" w:hAnsi="Arial Narrow" w:cs="Times New Roman"/>
                <w:b/>
                <w:bCs/>
                <w:color w:val="000000"/>
                <w:sz w:val="16"/>
                <w:szCs w:val="16"/>
                <w:u w:val="single"/>
              </w:rPr>
              <w:t>Reports</w:t>
            </w:r>
            <w:r w:rsidRPr="006F5DFE">
              <w:rPr>
                <w:rFonts w:ascii="Arial Narrow" w:eastAsia="Times New Roman" w:hAnsi="Arial Narrow" w:cs="Times New Roman"/>
                <w:b/>
                <w:bCs/>
                <w:color w:val="000000"/>
                <w:sz w:val="16"/>
                <w:szCs w:val="16"/>
                <w:u w:val="single"/>
              </w:rPr>
              <w:t xml:space="preserve"> </w:t>
            </w:r>
          </w:p>
        </w:tc>
        <w:tc>
          <w:tcPr>
            <w:tcW w:w="925" w:type="dxa"/>
            <w:tcBorders>
              <w:top w:val="nil"/>
              <w:left w:val="nil"/>
              <w:bottom w:val="single" w:sz="4" w:space="0" w:color="auto"/>
              <w:right w:val="single" w:sz="4" w:space="0" w:color="auto"/>
            </w:tcBorders>
            <w:shd w:val="clear" w:color="000000" w:fill="F2F2F2"/>
            <w:noWrap/>
            <w:vAlign w:val="center"/>
            <w:hideMark/>
          </w:tcPr>
          <w:p w14:paraId="5AB48EBA" w14:textId="77777777" w:rsidR="0087690D" w:rsidRPr="006F5DFE" w:rsidRDefault="0087690D" w:rsidP="00664C80">
            <w:pPr>
              <w:spacing w:after="0" w:line="240" w:lineRule="auto"/>
              <w:jc w:val="right"/>
              <w:rPr>
                <w:rFonts w:ascii="Arial Narrow" w:eastAsia="Times New Roman" w:hAnsi="Arial Narrow" w:cs="Times New Roman"/>
                <w:b/>
                <w:bCs/>
                <w:color w:val="000000"/>
                <w:sz w:val="16"/>
                <w:szCs w:val="16"/>
                <w:u w:val="single"/>
              </w:rPr>
            </w:pPr>
            <w:r w:rsidRPr="006F5DFE">
              <w:rPr>
                <w:rFonts w:ascii="Arial Narrow" w:eastAsia="Times New Roman" w:hAnsi="Arial Narrow" w:cs="Times New Roman"/>
                <w:b/>
                <w:bCs/>
                <w:color w:val="000000"/>
                <w:sz w:val="16"/>
                <w:szCs w:val="16"/>
                <w:u w:val="single"/>
              </w:rPr>
              <w:t>Rates</w:t>
            </w:r>
          </w:p>
        </w:tc>
      </w:tr>
      <w:tr w:rsidR="0087690D" w:rsidRPr="006F5DFE" w14:paraId="1785EB13"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7CAC2D28"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Adams County</w:t>
            </w:r>
          </w:p>
        </w:tc>
        <w:tc>
          <w:tcPr>
            <w:tcW w:w="995" w:type="dxa"/>
            <w:tcBorders>
              <w:top w:val="nil"/>
              <w:left w:val="nil"/>
              <w:bottom w:val="single" w:sz="4" w:space="0" w:color="auto"/>
              <w:right w:val="single" w:sz="4" w:space="0" w:color="auto"/>
            </w:tcBorders>
            <w:shd w:val="clear" w:color="auto" w:fill="auto"/>
            <w:noWrap/>
            <w:vAlign w:val="bottom"/>
            <w:hideMark/>
          </w:tcPr>
          <w:p w14:paraId="744D4AB1"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48</w:t>
            </w:r>
          </w:p>
        </w:tc>
        <w:tc>
          <w:tcPr>
            <w:tcW w:w="925" w:type="dxa"/>
            <w:tcBorders>
              <w:top w:val="nil"/>
              <w:left w:val="nil"/>
              <w:bottom w:val="single" w:sz="4" w:space="0" w:color="auto"/>
              <w:right w:val="single" w:sz="4" w:space="0" w:color="auto"/>
            </w:tcBorders>
            <w:shd w:val="clear" w:color="auto" w:fill="auto"/>
            <w:noWrap/>
            <w:vAlign w:val="bottom"/>
            <w:hideMark/>
          </w:tcPr>
          <w:p w14:paraId="54376F8C"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154.8</w:t>
            </w:r>
          </w:p>
        </w:tc>
        <w:tc>
          <w:tcPr>
            <w:tcW w:w="995" w:type="dxa"/>
            <w:tcBorders>
              <w:top w:val="nil"/>
              <w:left w:val="nil"/>
              <w:bottom w:val="single" w:sz="4" w:space="0" w:color="auto"/>
              <w:right w:val="single" w:sz="4" w:space="0" w:color="auto"/>
            </w:tcBorders>
            <w:shd w:val="clear" w:color="auto" w:fill="auto"/>
            <w:noWrap/>
            <w:vAlign w:val="bottom"/>
            <w:hideMark/>
          </w:tcPr>
          <w:p w14:paraId="6DBF2273"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47</w:t>
            </w:r>
          </w:p>
        </w:tc>
        <w:tc>
          <w:tcPr>
            <w:tcW w:w="925" w:type="dxa"/>
            <w:tcBorders>
              <w:top w:val="nil"/>
              <w:left w:val="nil"/>
              <w:bottom w:val="single" w:sz="4" w:space="0" w:color="auto"/>
              <w:right w:val="single" w:sz="4" w:space="0" w:color="auto"/>
            </w:tcBorders>
            <w:shd w:val="clear" w:color="auto" w:fill="auto"/>
            <w:noWrap/>
            <w:vAlign w:val="bottom"/>
            <w:hideMark/>
          </w:tcPr>
          <w:p w14:paraId="589998C0"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151.6</w:t>
            </w:r>
          </w:p>
        </w:tc>
      </w:tr>
      <w:tr w:rsidR="0087690D" w:rsidRPr="006F5DFE" w14:paraId="0D98CE06"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0797EBE8"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Alcorn County</w:t>
            </w:r>
          </w:p>
        </w:tc>
        <w:tc>
          <w:tcPr>
            <w:tcW w:w="995" w:type="dxa"/>
            <w:tcBorders>
              <w:top w:val="nil"/>
              <w:left w:val="nil"/>
              <w:bottom w:val="single" w:sz="4" w:space="0" w:color="auto"/>
              <w:right w:val="single" w:sz="4" w:space="0" w:color="auto"/>
            </w:tcBorders>
            <w:shd w:val="clear" w:color="auto" w:fill="auto"/>
            <w:noWrap/>
            <w:vAlign w:val="bottom"/>
            <w:hideMark/>
          </w:tcPr>
          <w:p w14:paraId="6A41D901"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72</w:t>
            </w:r>
          </w:p>
        </w:tc>
        <w:tc>
          <w:tcPr>
            <w:tcW w:w="925" w:type="dxa"/>
            <w:tcBorders>
              <w:top w:val="nil"/>
              <w:left w:val="nil"/>
              <w:bottom w:val="single" w:sz="4" w:space="0" w:color="auto"/>
              <w:right w:val="single" w:sz="4" w:space="0" w:color="auto"/>
            </w:tcBorders>
            <w:shd w:val="clear" w:color="auto" w:fill="auto"/>
            <w:noWrap/>
            <w:vAlign w:val="bottom"/>
            <w:hideMark/>
          </w:tcPr>
          <w:p w14:paraId="7B2EDE44"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193.5</w:t>
            </w:r>
          </w:p>
        </w:tc>
        <w:tc>
          <w:tcPr>
            <w:tcW w:w="995" w:type="dxa"/>
            <w:tcBorders>
              <w:top w:val="nil"/>
              <w:left w:val="nil"/>
              <w:bottom w:val="single" w:sz="4" w:space="0" w:color="auto"/>
              <w:right w:val="single" w:sz="4" w:space="0" w:color="auto"/>
            </w:tcBorders>
            <w:shd w:val="clear" w:color="auto" w:fill="auto"/>
            <w:noWrap/>
            <w:vAlign w:val="bottom"/>
            <w:hideMark/>
          </w:tcPr>
          <w:p w14:paraId="5011CDEA"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83</w:t>
            </w:r>
          </w:p>
        </w:tc>
        <w:tc>
          <w:tcPr>
            <w:tcW w:w="925" w:type="dxa"/>
            <w:tcBorders>
              <w:top w:val="nil"/>
              <w:left w:val="nil"/>
              <w:bottom w:val="single" w:sz="4" w:space="0" w:color="auto"/>
              <w:right w:val="single" w:sz="4" w:space="0" w:color="auto"/>
            </w:tcBorders>
            <w:shd w:val="clear" w:color="auto" w:fill="auto"/>
            <w:noWrap/>
            <w:vAlign w:val="bottom"/>
            <w:hideMark/>
          </w:tcPr>
          <w:p w14:paraId="5615638C"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223.1</w:t>
            </w:r>
          </w:p>
        </w:tc>
      </w:tr>
      <w:tr w:rsidR="0087690D" w:rsidRPr="006F5DFE" w14:paraId="04C2A185"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3A247FB1"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Amite County</w:t>
            </w:r>
          </w:p>
        </w:tc>
        <w:tc>
          <w:tcPr>
            <w:tcW w:w="995" w:type="dxa"/>
            <w:tcBorders>
              <w:top w:val="nil"/>
              <w:left w:val="nil"/>
              <w:bottom w:val="single" w:sz="4" w:space="0" w:color="auto"/>
              <w:right w:val="single" w:sz="4" w:space="0" w:color="auto"/>
            </w:tcBorders>
            <w:shd w:val="clear" w:color="auto" w:fill="auto"/>
            <w:noWrap/>
            <w:vAlign w:val="bottom"/>
            <w:hideMark/>
          </w:tcPr>
          <w:p w14:paraId="25437608"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12</w:t>
            </w:r>
          </w:p>
        </w:tc>
        <w:tc>
          <w:tcPr>
            <w:tcW w:w="925" w:type="dxa"/>
            <w:tcBorders>
              <w:top w:val="nil"/>
              <w:left w:val="nil"/>
              <w:bottom w:val="single" w:sz="4" w:space="0" w:color="auto"/>
              <w:right w:val="single" w:sz="4" w:space="0" w:color="auto"/>
            </w:tcBorders>
            <w:shd w:val="clear" w:color="auto" w:fill="auto"/>
            <w:noWrap/>
            <w:vAlign w:val="bottom"/>
            <w:hideMark/>
          </w:tcPr>
          <w:p w14:paraId="2813C462"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96.4</w:t>
            </w:r>
          </w:p>
        </w:tc>
        <w:tc>
          <w:tcPr>
            <w:tcW w:w="995" w:type="dxa"/>
            <w:tcBorders>
              <w:top w:val="nil"/>
              <w:left w:val="nil"/>
              <w:bottom w:val="single" w:sz="4" w:space="0" w:color="auto"/>
              <w:right w:val="single" w:sz="4" w:space="0" w:color="auto"/>
            </w:tcBorders>
            <w:shd w:val="clear" w:color="auto" w:fill="auto"/>
            <w:noWrap/>
            <w:vAlign w:val="bottom"/>
            <w:hideMark/>
          </w:tcPr>
          <w:p w14:paraId="1961B547"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11</w:t>
            </w:r>
          </w:p>
        </w:tc>
        <w:tc>
          <w:tcPr>
            <w:tcW w:w="925" w:type="dxa"/>
            <w:tcBorders>
              <w:top w:val="nil"/>
              <w:left w:val="nil"/>
              <w:bottom w:val="single" w:sz="4" w:space="0" w:color="auto"/>
              <w:right w:val="single" w:sz="4" w:space="0" w:color="auto"/>
            </w:tcBorders>
            <w:shd w:val="clear" w:color="auto" w:fill="auto"/>
            <w:noWrap/>
            <w:vAlign w:val="bottom"/>
            <w:hideMark/>
          </w:tcPr>
          <w:p w14:paraId="547417D1"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88.4</w:t>
            </w:r>
          </w:p>
        </w:tc>
      </w:tr>
      <w:tr w:rsidR="0087690D" w:rsidRPr="006F5DFE" w14:paraId="08156888"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39BB10B5"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Attala County</w:t>
            </w:r>
          </w:p>
        </w:tc>
        <w:tc>
          <w:tcPr>
            <w:tcW w:w="995" w:type="dxa"/>
            <w:tcBorders>
              <w:top w:val="nil"/>
              <w:left w:val="nil"/>
              <w:bottom w:val="single" w:sz="4" w:space="0" w:color="auto"/>
              <w:right w:val="single" w:sz="4" w:space="0" w:color="auto"/>
            </w:tcBorders>
            <w:shd w:val="clear" w:color="auto" w:fill="auto"/>
            <w:noWrap/>
            <w:vAlign w:val="bottom"/>
            <w:hideMark/>
          </w:tcPr>
          <w:p w14:paraId="587CBBBB"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8</w:t>
            </w:r>
          </w:p>
        </w:tc>
        <w:tc>
          <w:tcPr>
            <w:tcW w:w="925" w:type="dxa"/>
            <w:tcBorders>
              <w:top w:val="nil"/>
              <w:left w:val="nil"/>
              <w:bottom w:val="single" w:sz="4" w:space="0" w:color="auto"/>
              <w:right w:val="single" w:sz="4" w:space="0" w:color="auto"/>
            </w:tcBorders>
            <w:shd w:val="clear" w:color="auto" w:fill="auto"/>
            <w:noWrap/>
            <w:vAlign w:val="bottom"/>
            <w:hideMark/>
          </w:tcPr>
          <w:p w14:paraId="443AD5D1"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43.3</w:t>
            </w:r>
          </w:p>
        </w:tc>
        <w:tc>
          <w:tcPr>
            <w:tcW w:w="995" w:type="dxa"/>
            <w:tcBorders>
              <w:top w:val="nil"/>
              <w:left w:val="nil"/>
              <w:bottom w:val="single" w:sz="4" w:space="0" w:color="auto"/>
              <w:right w:val="single" w:sz="4" w:space="0" w:color="auto"/>
            </w:tcBorders>
            <w:shd w:val="clear" w:color="auto" w:fill="auto"/>
            <w:noWrap/>
            <w:vAlign w:val="bottom"/>
            <w:hideMark/>
          </w:tcPr>
          <w:p w14:paraId="20298772"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14</w:t>
            </w:r>
          </w:p>
        </w:tc>
        <w:tc>
          <w:tcPr>
            <w:tcW w:w="925" w:type="dxa"/>
            <w:tcBorders>
              <w:top w:val="nil"/>
              <w:left w:val="nil"/>
              <w:bottom w:val="single" w:sz="4" w:space="0" w:color="auto"/>
              <w:right w:val="single" w:sz="4" w:space="0" w:color="auto"/>
            </w:tcBorders>
            <w:shd w:val="clear" w:color="auto" w:fill="auto"/>
            <w:noWrap/>
            <w:vAlign w:val="bottom"/>
            <w:hideMark/>
          </w:tcPr>
          <w:p w14:paraId="743DF60E"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75.8</w:t>
            </w:r>
          </w:p>
        </w:tc>
      </w:tr>
      <w:tr w:rsidR="0087690D" w:rsidRPr="006F5DFE" w14:paraId="321E75DC"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3857DD2F"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Benton County</w:t>
            </w:r>
          </w:p>
        </w:tc>
        <w:tc>
          <w:tcPr>
            <w:tcW w:w="995" w:type="dxa"/>
            <w:tcBorders>
              <w:top w:val="nil"/>
              <w:left w:val="nil"/>
              <w:bottom w:val="single" w:sz="4" w:space="0" w:color="auto"/>
              <w:right w:val="single" w:sz="4" w:space="0" w:color="auto"/>
            </w:tcBorders>
            <w:shd w:val="clear" w:color="auto" w:fill="auto"/>
            <w:noWrap/>
            <w:vAlign w:val="bottom"/>
            <w:hideMark/>
          </w:tcPr>
          <w:p w14:paraId="1DCD1B42"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4</w:t>
            </w:r>
          </w:p>
        </w:tc>
        <w:tc>
          <w:tcPr>
            <w:tcW w:w="925" w:type="dxa"/>
            <w:tcBorders>
              <w:top w:val="nil"/>
              <w:left w:val="nil"/>
              <w:bottom w:val="single" w:sz="4" w:space="0" w:color="auto"/>
              <w:right w:val="single" w:sz="4" w:space="0" w:color="auto"/>
            </w:tcBorders>
            <w:shd w:val="clear" w:color="auto" w:fill="auto"/>
            <w:noWrap/>
            <w:vAlign w:val="bottom"/>
            <w:hideMark/>
          </w:tcPr>
          <w:p w14:paraId="609B7BE1"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48.1</w:t>
            </w:r>
          </w:p>
        </w:tc>
        <w:tc>
          <w:tcPr>
            <w:tcW w:w="995" w:type="dxa"/>
            <w:tcBorders>
              <w:top w:val="nil"/>
              <w:left w:val="nil"/>
              <w:bottom w:val="single" w:sz="4" w:space="0" w:color="auto"/>
              <w:right w:val="single" w:sz="4" w:space="0" w:color="auto"/>
            </w:tcBorders>
            <w:shd w:val="clear" w:color="auto" w:fill="auto"/>
            <w:noWrap/>
            <w:vAlign w:val="bottom"/>
            <w:hideMark/>
          </w:tcPr>
          <w:p w14:paraId="47EC5CD3"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5</w:t>
            </w:r>
          </w:p>
        </w:tc>
        <w:tc>
          <w:tcPr>
            <w:tcW w:w="925" w:type="dxa"/>
            <w:tcBorders>
              <w:top w:val="nil"/>
              <w:left w:val="nil"/>
              <w:bottom w:val="single" w:sz="4" w:space="0" w:color="auto"/>
              <w:right w:val="single" w:sz="4" w:space="0" w:color="auto"/>
            </w:tcBorders>
            <w:shd w:val="clear" w:color="auto" w:fill="auto"/>
            <w:noWrap/>
            <w:vAlign w:val="bottom"/>
            <w:hideMark/>
          </w:tcPr>
          <w:p w14:paraId="51B1EEAE"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60.2</w:t>
            </w:r>
          </w:p>
        </w:tc>
      </w:tr>
      <w:tr w:rsidR="0087690D" w:rsidRPr="006F5DFE" w14:paraId="405EAB49"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559C3AEF"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Bolivar County</w:t>
            </w:r>
          </w:p>
        </w:tc>
        <w:tc>
          <w:tcPr>
            <w:tcW w:w="995" w:type="dxa"/>
            <w:tcBorders>
              <w:top w:val="nil"/>
              <w:left w:val="nil"/>
              <w:bottom w:val="single" w:sz="4" w:space="0" w:color="auto"/>
              <w:right w:val="single" w:sz="4" w:space="0" w:color="auto"/>
            </w:tcBorders>
            <w:shd w:val="clear" w:color="auto" w:fill="auto"/>
            <w:noWrap/>
            <w:vAlign w:val="bottom"/>
            <w:hideMark/>
          </w:tcPr>
          <w:p w14:paraId="658DBDA3"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20</w:t>
            </w:r>
          </w:p>
        </w:tc>
        <w:tc>
          <w:tcPr>
            <w:tcW w:w="925" w:type="dxa"/>
            <w:tcBorders>
              <w:top w:val="nil"/>
              <w:left w:val="nil"/>
              <w:bottom w:val="single" w:sz="4" w:space="0" w:color="auto"/>
              <w:right w:val="single" w:sz="4" w:space="0" w:color="auto"/>
            </w:tcBorders>
            <w:shd w:val="clear" w:color="auto" w:fill="auto"/>
            <w:noWrap/>
            <w:vAlign w:val="bottom"/>
            <w:hideMark/>
          </w:tcPr>
          <w:p w14:paraId="09B0F5C1"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62.6</w:t>
            </w:r>
          </w:p>
        </w:tc>
        <w:tc>
          <w:tcPr>
            <w:tcW w:w="995" w:type="dxa"/>
            <w:tcBorders>
              <w:top w:val="nil"/>
              <w:left w:val="nil"/>
              <w:bottom w:val="single" w:sz="4" w:space="0" w:color="auto"/>
              <w:right w:val="single" w:sz="4" w:space="0" w:color="auto"/>
            </w:tcBorders>
            <w:shd w:val="clear" w:color="auto" w:fill="auto"/>
            <w:noWrap/>
            <w:vAlign w:val="bottom"/>
            <w:hideMark/>
          </w:tcPr>
          <w:p w14:paraId="64D090ED"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14</w:t>
            </w:r>
          </w:p>
        </w:tc>
        <w:tc>
          <w:tcPr>
            <w:tcW w:w="925" w:type="dxa"/>
            <w:tcBorders>
              <w:top w:val="nil"/>
              <w:left w:val="nil"/>
              <w:bottom w:val="single" w:sz="4" w:space="0" w:color="auto"/>
              <w:right w:val="single" w:sz="4" w:space="0" w:color="auto"/>
            </w:tcBorders>
            <w:shd w:val="clear" w:color="auto" w:fill="auto"/>
            <w:noWrap/>
            <w:vAlign w:val="bottom"/>
            <w:hideMark/>
          </w:tcPr>
          <w:p w14:paraId="3054CD8F"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43.8</w:t>
            </w:r>
          </w:p>
        </w:tc>
      </w:tr>
      <w:tr w:rsidR="0087690D" w:rsidRPr="006F5DFE" w14:paraId="04ACF98A"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0ADDDC2D"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Calhoun County</w:t>
            </w:r>
          </w:p>
        </w:tc>
        <w:tc>
          <w:tcPr>
            <w:tcW w:w="995" w:type="dxa"/>
            <w:tcBorders>
              <w:top w:val="nil"/>
              <w:left w:val="nil"/>
              <w:bottom w:val="single" w:sz="4" w:space="0" w:color="auto"/>
              <w:right w:val="single" w:sz="4" w:space="0" w:color="auto"/>
            </w:tcBorders>
            <w:shd w:val="clear" w:color="auto" w:fill="auto"/>
            <w:noWrap/>
            <w:vAlign w:val="bottom"/>
            <w:hideMark/>
          </w:tcPr>
          <w:p w14:paraId="7C5456DA"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10</w:t>
            </w:r>
          </w:p>
        </w:tc>
        <w:tc>
          <w:tcPr>
            <w:tcW w:w="925" w:type="dxa"/>
            <w:tcBorders>
              <w:top w:val="nil"/>
              <w:left w:val="nil"/>
              <w:bottom w:val="single" w:sz="4" w:space="0" w:color="auto"/>
              <w:right w:val="single" w:sz="4" w:space="0" w:color="auto"/>
            </w:tcBorders>
            <w:shd w:val="clear" w:color="auto" w:fill="auto"/>
            <w:noWrap/>
            <w:vAlign w:val="bottom"/>
            <w:hideMark/>
          </w:tcPr>
          <w:p w14:paraId="4A94E55A"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69.0</w:t>
            </w:r>
          </w:p>
        </w:tc>
        <w:tc>
          <w:tcPr>
            <w:tcW w:w="995" w:type="dxa"/>
            <w:tcBorders>
              <w:top w:val="nil"/>
              <w:left w:val="nil"/>
              <w:bottom w:val="single" w:sz="4" w:space="0" w:color="auto"/>
              <w:right w:val="single" w:sz="4" w:space="0" w:color="auto"/>
            </w:tcBorders>
            <w:shd w:val="clear" w:color="auto" w:fill="auto"/>
            <w:noWrap/>
            <w:vAlign w:val="bottom"/>
            <w:hideMark/>
          </w:tcPr>
          <w:p w14:paraId="4D2F86C9"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10</w:t>
            </w:r>
          </w:p>
        </w:tc>
        <w:tc>
          <w:tcPr>
            <w:tcW w:w="925" w:type="dxa"/>
            <w:tcBorders>
              <w:top w:val="nil"/>
              <w:left w:val="nil"/>
              <w:bottom w:val="single" w:sz="4" w:space="0" w:color="auto"/>
              <w:right w:val="single" w:sz="4" w:space="0" w:color="auto"/>
            </w:tcBorders>
            <w:shd w:val="clear" w:color="auto" w:fill="auto"/>
            <w:noWrap/>
            <w:vAlign w:val="bottom"/>
            <w:hideMark/>
          </w:tcPr>
          <w:p w14:paraId="3352A5BC"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69.0</w:t>
            </w:r>
          </w:p>
        </w:tc>
      </w:tr>
      <w:tr w:rsidR="0087690D" w:rsidRPr="006F5DFE" w14:paraId="5896EFCF"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7AEDC73F"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Carroll County</w:t>
            </w:r>
          </w:p>
        </w:tc>
        <w:tc>
          <w:tcPr>
            <w:tcW w:w="995" w:type="dxa"/>
            <w:tcBorders>
              <w:top w:val="nil"/>
              <w:left w:val="nil"/>
              <w:bottom w:val="single" w:sz="4" w:space="0" w:color="auto"/>
              <w:right w:val="single" w:sz="4" w:space="0" w:color="auto"/>
            </w:tcBorders>
            <w:shd w:val="clear" w:color="auto" w:fill="auto"/>
            <w:noWrap/>
            <w:vAlign w:val="bottom"/>
            <w:hideMark/>
          </w:tcPr>
          <w:p w14:paraId="0F01AADC"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8</w:t>
            </w:r>
          </w:p>
        </w:tc>
        <w:tc>
          <w:tcPr>
            <w:tcW w:w="925" w:type="dxa"/>
            <w:tcBorders>
              <w:top w:val="nil"/>
              <w:left w:val="nil"/>
              <w:bottom w:val="single" w:sz="4" w:space="0" w:color="auto"/>
              <w:right w:val="single" w:sz="4" w:space="0" w:color="auto"/>
            </w:tcBorders>
            <w:shd w:val="clear" w:color="auto" w:fill="auto"/>
            <w:noWrap/>
            <w:vAlign w:val="bottom"/>
            <w:hideMark/>
          </w:tcPr>
          <w:p w14:paraId="4E046DD9"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78.9</w:t>
            </w:r>
          </w:p>
        </w:tc>
        <w:tc>
          <w:tcPr>
            <w:tcW w:w="995" w:type="dxa"/>
            <w:tcBorders>
              <w:top w:val="nil"/>
              <w:left w:val="nil"/>
              <w:bottom w:val="single" w:sz="4" w:space="0" w:color="auto"/>
              <w:right w:val="single" w:sz="4" w:space="0" w:color="auto"/>
            </w:tcBorders>
            <w:shd w:val="clear" w:color="auto" w:fill="auto"/>
            <w:noWrap/>
            <w:vAlign w:val="bottom"/>
            <w:hideMark/>
          </w:tcPr>
          <w:p w14:paraId="1AF6F2F4"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5</w:t>
            </w:r>
          </w:p>
        </w:tc>
        <w:tc>
          <w:tcPr>
            <w:tcW w:w="925" w:type="dxa"/>
            <w:tcBorders>
              <w:top w:val="nil"/>
              <w:left w:val="nil"/>
              <w:bottom w:val="single" w:sz="4" w:space="0" w:color="auto"/>
              <w:right w:val="single" w:sz="4" w:space="0" w:color="auto"/>
            </w:tcBorders>
            <w:shd w:val="clear" w:color="auto" w:fill="auto"/>
            <w:noWrap/>
            <w:vAlign w:val="bottom"/>
            <w:hideMark/>
          </w:tcPr>
          <w:p w14:paraId="0ED33B4F"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49.3</w:t>
            </w:r>
          </w:p>
        </w:tc>
      </w:tr>
      <w:tr w:rsidR="0087690D" w:rsidRPr="006F5DFE" w14:paraId="34451A56"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317AB530"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Chickasaw County</w:t>
            </w:r>
          </w:p>
        </w:tc>
        <w:tc>
          <w:tcPr>
            <w:tcW w:w="995" w:type="dxa"/>
            <w:tcBorders>
              <w:top w:val="nil"/>
              <w:left w:val="nil"/>
              <w:bottom w:val="single" w:sz="4" w:space="0" w:color="auto"/>
              <w:right w:val="single" w:sz="4" w:space="0" w:color="auto"/>
            </w:tcBorders>
            <w:shd w:val="clear" w:color="auto" w:fill="auto"/>
            <w:noWrap/>
            <w:vAlign w:val="bottom"/>
            <w:hideMark/>
          </w:tcPr>
          <w:p w14:paraId="4B85B5DF"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22</w:t>
            </w:r>
          </w:p>
        </w:tc>
        <w:tc>
          <w:tcPr>
            <w:tcW w:w="925" w:type="dxa"/>
            <w:tcBorders>
              <w:top w:val="nil"/>
              <w:left w:val="nil"/>
              <w:bottom w:val="single" w:sz="4" w:space="0" w:color="auto"/>
              <w:right w:val="single" w:sz="4" w:space="0" w:color="auto"/>
            </w:tcBorders>
            <w:shd w:val="clear" w:color="auto" w:fill="auto"/>
            <w:noWrap/>
            <w:vAlign w:val="bottom"/>
            <w:hideMark/>
          </w:tcPr>
          <w:p w14:paraId="639F1822"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128.3</w:t>
            </w:r>
          </w:p>
        </w:tc>
        <w:tc>
          <w:tcPr>
            <w:tcW w:w="995" w:type="dxa"/>
            <w:tcBorders>
              <w:top w:val="nil"/>
              <w:left w:val="nil"/>
              <w:bottom w:val="single" w:sz="4" w:space="0" w:color="auto"/>
              <w:right w:val="single" w:sz="4" w:space="0" w:color="auto"/>
            </w:tcBorders>
            <w:shd w:val="clear" w:color="auto" w:fill="auto"/>
            <w:noWrap/>
            <w:vAlign w:val="bottom"/>
            <w:hideMark/>
          </w:tcPr>
          <w:p w14:paraId="696DAE4F"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7</w:t>
            </w:r>
          </w:p>
        </w:tc>
        <w:tc>
          <w:tcPr>
            <w:tcW w:w="925" w:type="dxa"/>
            <w:tcBorders>
              <w:top w:val="nil"/>
              <w:left w:val="nil"/>
              <w:bottom w:val="single" w:sz="4" w:space="0" w:color="auto"/>
              <w:right w:val="single" w:sz="4" w:space="0" w:color="auto"/>
            </w:tcBorders>
            <w:shd w:val="clear" w:color="auto" w:fill="auto"/>
            <w:noWrap/>
            <w:vAlign w:val="bottom"/>
            <w:hideMark/>
          </w:tcPr>
          <w:p w14:paraId="2FC5045C"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40.8</w:t>
            </w:r>
          </w:p>
        </w:tc>
      </w:tr>
      <w:tr w:rsidR="0087690D" w:rsidRPr="006F5DFE" w14:paraId="199A8433"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5A1011B5"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Choctaw County</w:t>
            </w:r>
          </w:p>
        </w:tc>
        <w:tc>
          <w:tcPr>
            <w:tcW w:w="995" w:type="dxa"/>
            <w:tcBorders>
              <w:top w:val="nil"/>
              <w:left w:val="nil"/>
              <w:bottom w:val="single" w:sz="4" w:space="0" w:color="auto"/>
              <w:right w:val="single" w:sz="4" w:space="0" w:color="auto"/>
            </w:tcBorders>
            <w:shd w:val="clear" w:color="auto" w:fill="auto"/>
            <w:noWrap/>
            <w:vAlign w:val="bottom"/>
            <w:hideMark/>
          </w:tcPr>
          <w:p w14:paraId="35843CFF"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5</w:t>
            </w:r>
          </w:p>
        </w:tc>
        <w:tc>
          <w:tcPr>
            <w:tcW w:w="925" w:type="dxa"/>
            <w:tcBorders>
              <w:top w:val="nil"/>
              <w:left w:val="nil"/>
              <w:bottom w:val="single" w:sz="4" w:space="0" w:color="auto"/>
              <w:right w:val="single" w:sz="4" w:space="0" w:color="auto"/>
            </w:tcBorders>
            <w:shd w:val="clear" w:color="auto" w:fill="auto"/>
            <w:noWrap/>
            <w:vAlign w:val="bottom"/>
            <w:hideMark/>
          </w:tcPr>
          <w:p w14:paraId="2D24E039"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60.4</w:t>
            </w:r>
          </w:p>
        </w:tc>
        <w:tc>
          <w:tcPr>
            <w:tcW w:w="995" w:type="dxa"/>
            <w:tcBorders>
              <w:top w:val="nil"/>
              <w:left w:val="nil"/>
              <w:bottom w:val="single" w:sz="4" w:space="0" w:color="auto"/>
              <w:right w:val="single" w:sz="4" w:space="0" w:color="auto"/>
            </w:tcBorders>
            <w:shd w:val="clear" w:color="auto" w:fill="auto"/>
            <w:noWrap/>
            <w:vAlign w:val="bottom"/>
            <w:hideMark/>
          </w:tcPr>
          <w:p w14:paraId="7ABABF86"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5</w:t>
            </w:r>
          </w:p>
        </w:tc>
        <w:tc>
          <w:tcPr>
            <w:tcW w:w="925" w:type="dxa"/>
            <w:tcBorders>
              <w:top w:val="nil"/>
              <w:left w:val="nil"/>
              <w:bottom w:val="single" w:sz="4" w:space="0" w:color="auto"/>
              <w:right w:val="single" w:sz="4" w:space="0" w:color="auto"/>
            </w:tcBorders>
            <w:shd w:val="clear" w:color="auto" w:fill="auto"/>
            <w:noWrap/>
            <w:vAlign w:val="bottom"/>
            <w:hideMark/>
          </w:tcPr>
          <w:p w14:paraId="69526932"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60.4</w:t>
            </w:r>
          </w:p>
        </w:tc>
      </w:tr>
      <w:tr w:rsidR="0087690D" w:rsidRPr="006F5DFE" w14:paraId="16C71C2D"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57CE549E"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Claiborne County</w:t>
            </w:r>
          </w:p>
        </w:tc>
        <w:tc>
          <w:tcPr>
            <w:tcW w:w="995" w:type="dxa"/>
            <w:tcBorders>
              <w:top w:val="nil"/>
              <w:left w:val="nil"/>
              <w:bottom w:val="single" w:sz="4" w:space="0" w:color="auto"/>
              <w:right w:val="single" w:sz="4" w:space="0" w:color="auto"/>
            </w:tcBorders>
            <w:shd w:val="clear" w:color="auto" w:fill="auto"/>
            <w:noWrap/>
            <w:vAlign w:val="bottom"/>
            <w:hideMark/>
          </w:tcPr>
          <w:p w14:paraId="2191252A"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3</w:t>
            </w:r>
          </w:p>
        </w:tc>
        <w:tc>
          <w:tcPr>
            <w:tcW w:w="925" w:type="dxa"/>
            <w:tcBorders>
              <w:top w:val="nil"/>
              <w:left w:val="nil"/>
              <w:bottom w:val="single" w:sz="4" w:space="0" w:color="auto"/>
              <w:right w:val="single" w:sz="4" w:space="0" w:color="auto"/>
            </w:tcBorders>
            <w:shd w:val="clear" w:color="auto" w:fill="auto"/>
            <w:noWrap/>
            <w:vAlign w:val="bottom"/>
            <w:hideMark/>
          </w:tcPr>
          <w:p w14:paraId="584B8816"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33.5</w:t>
            </w:r>
          </w:p>
        </w:tc>
        <w:tc>
          <w:tcPr>
            <w:tcW w:w="995" w:type="dxa"/>
            <w:tcBorders>
              <w:top w:val="nil"/>
              <w:left w:val="nil"/>
              <w:bottom w:val="single" w:sz="4" w:space="0" w:color="auto"/>
              <w:right w:val="single" w:sz="4" w:space="0" w:color="auto"/>
            </w:tcBorders>
            <w:shd w:val="clear" w:color="auto" w:fill="auto"/>
            <w:noWrap/>
            <w:vAlign w:val="bottom"/>
            <w:hideMark/>
          </w:tcPr>
          <w:p w14:paraId="64B086F0"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4</w:t>
            </w:r>
          </w:p>
        </w:tc>
        <w:tc>
          <w:tcPr>
            <w:tcW w:w="925" w:type="dxa"/>
            <w:tcBorders>
              <w:top w:val="nil"/>
              <w:left w:val="nil"/>
              <w:bottom w:val="single" w:sz="4" w:space="0" w:color="auto"/>
              <w:right w:val="single" w:sz="4" w:space="0" w:color="auto"/>
            </w:tcBorders>
            <w:shd w:val="clear" w:color="auto" w:fill="auto"/>
            <w:noWrap/>
            <w:vAlign w:val="bottom"/>
            <w:hideMark/>
          </w:tcPr>
          <w:p w14:paraId="633581F2"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44.7</w:t>
            </w:r>
          </w:p>
        </w:tc>
      </w:tr>
      <w:tr w:rsidR="0087690D" w:rsidRPr="006F5DFE" w14:paraId="14B66A30"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6F90961A"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Clarke County</w:t>
            </w:r>
          </w:p>
        </w:tc>
        <w:tc>
          <w:tcPr>
            <w:tcW w:w="995" w:type="dxa"/>
            <w:tcBorders>
              <w:top w:val="nil"/>
              <w:left w:val="nil"/>
              <w:bottom w:val="single" w:sz="4" w:space="0" w:color="auto"/>
              <w:right w:val="single" w:sz="4" w:space="0" w:color="auto"/>
            </w:tcBorders>
            <w:shd w:val="clear" w:color="auto" w:fill="auto"/>
            <w:noWrap/>
            <w:vAlign w:val="bottom"/>
            <w:hideMark/>
          </w:tcPr>
          <w:p w14:paraId="18DB66A6"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8</w:t>
            </w:r>
          </w:p>
        </w:tc>
        <w:tc>
          <w:tcPr>
            <w:tcW w:w="925" w:type="dxa"/>
            <w:tcBorders>
              <w:top w:val="nil"/>
              <w:left w:val="nil"/>
              <w:bottom w:val="single" w:sz="4" w:space="0" w:color="auto"/>
              <w:right w:val="single" w:sz="4" w:space="0" w:color="auto"/>
            </w:tcBorders>
            <w:shd w:val="clear" w:color="auto" w:fill="auto"/>
            <w:noWrap/>
            <w:vAlign w:val="bottom"/>
            <w:hideMark/>
          </w:tcPr>
          <w:p w14:paraId="33FDA3E1"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50.5</w:t>
            </w:r>
          </w:p>
        </w:tc>
        <w:tc>
          <w:tcPr>
            <w:tcW w:w="995" w:type="dxa"/>
            <w:tcBorders>
              <w:top w:val="nil"/>
              <w:left w:val="nil"/>
              <w:bottom w:val="single" w:sz="4" w:space="0" w:color="auto"/>
              <w:right w:val="single" w:sz="4" w:space="0" w:color="auto"/>
            </w:tcBorders>
            <w:shd w:val="clear" w:color="auto" w:fill="auto"/>
            <w:noWrap/>
            <w:vAlign w:val="bottom"/>
            <w:hideMark/>
          </w:tcPr>
          <w:p w14:paraId="2484C3B5"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7</w:t>
            </w:r>
          </w:p>
        </w:tc>
        <w:tc>
          <w:tcPr>
            <w:tcW w:w="925" w:type="dxa"/>
            <w:tcBorders>
              <w:top w:val="nil"/>
              <w:left w:val="nil"/>
              <w:bottom w:val="single" w:sz="4" w:space="0" w:color="auto"/>
              <w:right w:val="single" w:sz="4" w:space="0" w:color="auto"/>
            </w:tcBorders>
            <w:shd w:val="clear" w:color="auto" w:fill="auto"/>
            <w:noWrap/>
            <w:vAlign w:val="bottom"/>
            <w:hideMark/>
          </w:tcPr>
          <w:p w14:paraId="1454CFD9"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44.2</w:t>
            </w:r>
          </w:p>
        </w:tc>
      </w:tr>
      <w:tr w:rsidR="0087690D" w:rsidRPr="006F5DFE" w14:paraId="54EDDA89"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35146950"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Clay County</w:t>
            </w:r>
          </w:p>
        </w:tc>
        <w:tc>
          <w:tcPr>
            <w:tcW w:w="995" w:type="dxa"/>
            <w:tcBorders>
              <w:top w:val="nil"/>
              <w:left w:val="nil"/>
              <w:bottom w:val="single" w:sz="4" w:space="0" w:color="auto"/>
              <w:right w:val="single" w:sz="4" w:space="0" w:color="auto"/>
            </w:tcBorders>
            <w:shd w:val="clear" w:color="auto" w:fill="auto"/>
            <w:noWrap/>
            <w:vAlign w:val="bottom"/>
            <w:hideMark/>
          </w:tcPr>
          <w:p w14:paraId="6B18EC8A"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9</w:t>
            </w:r>
          </w:p>
        </w:tc>
        <w:tc>
          <w:tcPr>
            <w:tcW w:w="925" w:type="dxa"/>
            <w:tcBorders>
              <w:top w:val="nil"/>
              <w:left w:val="nil"/>
              <w:bottom w:val="single" w:sz="4" w:space="0" w:color="auto"/>
              <w:right w:val="single" w:sz="4" w:space="0" w:color="auto"/>
            </w:tcBorders>
            <w:shd w:val="clear" w:color="auto" w:fill="auto"/>
            <w:noWrap/>
            <w:vAlign w:val="bottom"/>
            <w:hideMark/>
          </w:tcPr>
          <w:p w14:paraId="3637591A"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45.8</w:t>
            </w:r>
          </w:p>
        </w:tc>
        <w:tc>
          <w:tcPr>
            <w:tcW w:w="995" w:type="dxa"/>
            <w:tcBorders>
              <w:top w:val="nil"/>
              <w:left w:val="nil"/>
              <w:bottom w:val="single" w:sz="4" w:space="0" w:color="auto"/>
              <w:right w:val="single" w:sz="4" w:space="0" w:color="auto"/>
            </w:tcBorders>
            <w:shd w:val="clear" w:color="auto" w:fill="auto"/>
            <w:noWrap/>
            <w:vAlign w:val="bottom"/>
            <w:hideMark/>
          </w:tcPr>
          <w:p w14:paraId="046214BD"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3</w:t>
            </w:r>
          </w:p>
        </w:tc>
        <w:tc>
          <w:tcPr>
            <w:tcW w:w="925" w:type="dxa"/>
            <w:tcBorders>
              <w:top w:val="nil"/>
              <w:left w:val="nil"/>
              <w:bottom w:val="single" w:sz="4" w:space="0" w:color="auto"/>
              <w:right w:val="single" w:sz="4" w:space="0" w:color="auto"/>
            </w:tcBorders>
            <w:shd w:val="clear" w:color="auto" w:fill="auto"/>
            <w:noWrap/>
            <w:vAlign w:val="bottom"/>
            <w:hideMark/>
          </w:tcPr>
          <w:p w14:paraId="41C2456A"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15.3</w:t>
            </w:r>
          </w:p>
        </w:tc>
      </w:tr>
      <w:tr w:rsidR="0087690D" w:rsidRPr="006F5DFE" w14:paraId="676860FD"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43E58A3E"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Coahoma County</w:t>
            </w:r>
          </w:p>
        </w:tc>
        <w:tc>
          <w:tcPr>
            <w:tcW w:w="995" w:type="dxa"/>
            <w:tcBorders>
              <w:top w:val="nil"/>
              <w:left w:val="nil"/>
              <w:bottom w:val="single" w:sz="4" w:space="0" w:color="auto"/>
              <w:right w:val="single" w:sz="4" w:space="0" w:color="auto"/>
            </w:tcBorders>
            <w:shd w:val="clear" w:color="auto" w:fill="auto"/>
            <w:noWrap/>
            <w:vAlign w:val="bottom"/>
            <w:hideMark/>
          </w:tcPr>
          <w:p w14:paraId="57F54982"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17</w:t>
            </w:r>
          </w:p>
        </w:tc>
        <w:tc>
          <w:tcPr>
            <w:tcW w:w="925" w:type="dxa"/>
            <w:tcBorders>
              <w:top w:val="nil"/>
              <w:left w:val="nil"/>
              <w:bottom w:val="single" w:sz="4" w:space="0" w:color="auto"/>
              <w:right w:val="single" w:sz="4" w:space="0" w:color="auto"/>
            </w:tcBorders>
            <w:shd w:val="clear" w:color="auto" w:fill="auto"/>
            <w:noWrap/>
            <w:vAlign w:val="bottom"/>
            <w:hideMark/>
          </w:tcPr>
          <w:p w14:paraId="7811EA06"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73.4</w:t>
            </w:r>
          </w:p>
        </w:tc>
        <w:tc>
          <w:tcPr>
            <w:tcW w:w="995" w:type="dxa"/>
            <w:tcBorders>
              <w:top w:val="nil"/>
              <w:left w:val="nil"/>
              <w:bottom w:val="single" w:sz="4" w:space="0" w:color="auto"/>
              <w:right w:val="single" w:sz="4" w:space="0" w:color="auto"/>
            </w:tcBorders>
            <w:shd w:val="clear" w:color="auto" w:fill="auto"/>
            <w:noWrap/>
            <w:vAlign w:val="bottom"/>
            <w:hideMark/>
          </w:tcPr>
          <w:p w14:paraId="624BD44D"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26</w:t>
            </w:r>
          </w:p>
        </w:tc>
        <w:tc>
          <w:tcPr>
            <w:tcW w:w="925" w:type="dxa"/>
            <w:tcBorders>
              <w:top w:val="nil"/>
              <w:left w:val="nil"/>
              <w:bottom w:val="single" w:sz="4" w:space="0" w:color="auto"/>
              <w:right w:val="single" w:sz="4" w:space="0" w:color="auto"/>
            </w:tcBorders>
            <w:shd w:val="clear" w:color="auto" w:fill="auto"/>
            <w:noWrap/>
            <w:vAlign w:val="bottom"/>
            <w:hideMark/>
          </w:tcPr>
          <w:p w14:paraId="121C6C03"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112.3</w:t>
            </w:r>
          </w:p>
        </w:tc>
      </w:tr>
      <w:tr w:rsidR="0087690D" w:rsidRPr="006F5DFE" w14:paraId="2C021F0E"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2A5DC911"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Copiah County</w:t>
            </w:r>
          </w:p>
        </w:tc>
        <w:tc>
          <w:tcPr>
            <w:tcW w:w="995" w:type="dxa"/>
            <w:tcBorders>
              <w:top w:val="nil"/>
              <w:left w:val="nil"/>
              <w:bottom w:val="single" w:sz="4" w:space="0" w:color="auto"/>
              <w:right w:val="single" w:sz="4" w:space="0" w:color="auto"/>
            </w:tcBorders>
            <w:shd w:val="clear" w:color="auto" w:fill="auto"/>
            <w:noWrap/>
            <w:vAlign w:val="bottom"/>
            <w:hideMark/>
          </w:tcPr>
          <w:p w14:paraId="6AF74E04"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34</w:t>
            </w:r>
          </w:p>
        </w:tc>
        <w:tc>
          <w:tcPr>
            <w:tcW w:w="925" w:type="dxa"/>
            <w:tcBorders>
              <w:top w:val="nil"/>
              <w:left w:val="nil"/>
              <w:bottom w:val="single" w:sz="4" w:space="0" w:color="auto"/>
              <w:right w:val="single" w:sz="4" w:space="0" w:color="auto"/>
            </w:tcBorders>
            <w:shd w:val="clear" w:color="auto" w:fill="auto"/>
            <w:noWrap/>
            <w:vAlign w:val="bottom"/>
            <w:hideMark/>
          </w:tcPr>
          <w:p w14:paraId="2C78DC2D"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119.2</w:t>
            </w:r>
          </w:p>
        </w:tc>
        <w:tc>
          <w:tcPr>
            <w:tcW w:w="995" w:type="dxa"/>
            <w:tcBorders>
              <w:top w:val="nil"/>
              <w:left w:val="nil"/>
              <w:bottom w:val="single" w:sz="4" w:space="0" w:color="auto"/>
              <w:right w:val="single" w:sz="4" w:space="0" w:color="auto"/>
            </w:tcBorders>
            <w:shd w:val="clear" w:color="auto" w:fill="auto"/>
            <w:noWrap/>
            <w:vAlign w:val="bottom"/>
            <w:hideMark/>
          </w:tcPr>
          <w:p w14:paraId="33A37367"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25</w:t>
            </w:r>
          </w:p>
        </w:tc>
        <w:tc>
          <w:tcPr>
            <w:tcW w:w="925" w:type="dxa"/>
            <w:tcBorders>
              <w:top w:val="nil"/>
              <w:left w:val="nil"/>
              <w:bottom w:val="single" w:sz="4" w:space="0" w:color="auto"/>
              <w:right w:val="single" w:sz="4" w:space="0" w:color="auto"/>
            </w:tcBorders>
            <w:shd w:val="clear" w:color="auto" w:fill="auto"/>
            <w:noWrap/>
            <w:vAlign w:val="bottom"/>
            <w:hideMark/>
          </w:tcPr>
          <w:p w14:paraId="208F1415"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87.7</w:t>
            </w:r>
          </w:p>
        </w:tc>
      </w:tr>
      <w:tr w:rsidR="0087690D" w:rsidRPr="006F5DFE" w14:paraId="52D333C5" w14:textId="77777777" w:rsidTr="00664C80">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686E231E" w14:textId="77777777" w:rsidR="0087690D" w:rsidRPr="006F5DFE" w:rsidRDefault="0087690D" w:rsidP="00664C80">
            <w:pPr>
              <w:spacing w:after="0" w:line="240" w:lineRule="auto"/>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Covington County</w:t>
            </w:r>
          </w:p>
        </w:tc>
        <w:tc>
          <w:tcPr>
            <w:tcW w:w="995" w:type="dxa"/>
            <w:tcBorders>
              <w:top w:val="nil"/>
              <w:left w:val="nil"/>
              <w:bottom w:val="single" w:sz="4" w:space="0" w:color="auto"/>
              <w:right w:val="single" w:sz="4" w:space="0" w:color="auto"/>
            </w:tcBorders>
            <w:shd w:val="clear" w:color="auto" w:fill="auto"/>
            <w:noWrap/>
            <w:vAlign w:val="bottom"/>
            <w:hideMark/>
          </w:tcPr>
          <w:p w14:paraId="6446173A"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28</w:t>
            </w:r>
          </w:p>
        </w:tc>
        <w:tc>
          <w:tcPr>
            <w:tcW w:w="925" w:type="dxa"/>
            <w:tcBorders>
              <w:top w:val="nil"/>
              <w:left w:val="nil"/>
              <w:bottom w:val="single" w:sz="4" w:space="0" w:color="auto"/>
              <w:right w:val="single" w:sz="4" w:space="0" w:color="auto"/>
            </w:tcBorders>
            <w:shd w:val="clear" w:color="auto" w:fill="auto"/>
            <w:noWrap/>
            <w:vAlign w:val="bottom"/>
            <w:hideMark/>
          </w:tcPr>
          <w:p w14:paraId="6FF60A66"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146.8</w:t>
            </w:r>
          </w:p>
        </w:tc>
        <w:tc>
          <w:tcPr>
            <w:tcW w:w="995" w:type="dxa"/>
            <w:tcBorders>
              <w:top w:val="nil"/>
              <w:left w:val="nil"/>
              <w:bottom w:val="single" w:sz="4" w:space="0" w:color="auto"/>
              <w:right w:val="single" w:sz="4" w:space="0" w:color="auto"/>
            </w:tcBorders>
            <w:shd w:val="clear" w:color="auto" w:fill="auto"/>
            <w:noWrap/>
            <w:vAlign w:val="bottom"/>
            <w:hideMark/>
          </w:tcPr>
          <w:p w14:paraId="4CF9CE56"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20</w:t>
            </w:r>
          </w:p>
        </w:tc>
        <w:tc>
          <w:tcPr>
            <w:tcW w:w="925" w:type="dxa"/>
            <w:tcBorders>
              <w:top w:val="nil"/>
              <w:left w:val="nil"/>
              <w:bottom w:val="single" w:sz="4" w:space="0" w:color="auto"/>
              <w:right w:val="single" w:sz="4" w:space="0" w:color="auto"/>
            </w:tcBorders>
            <w:shd w:val="clear" w:color="auto" w:fill="auto"/>
            <w:noWrap/>
            <w:vAlign w:val="bottom"/>
            <w:hideMark/>
          </w:tcPr>
          <w:p w14:paraId="266D86A5" w14:textId="77777777" w:rsidR="0087690D" w:rsidRPr="006F5DFE" w:rsidRDefault="0087690D" w:rsidP="00664C80">
            <w:pPr>
              <w:spacing w:after="0" w:line="240" w:lineRule="auto"/>
              <w:jc w:val="right"/>
              <w:rPr>
                <w:rFonts w:ascii="Arial Narrow" w:eastAsia="Times New Roman" w:hAnsi="Arial Narrow" w:cs="Times New Roman"/>
                <w:color w:val="000000"/>
                <w:sz w:val="16"/>
                <w:szCs w:val="16"/>
              </w:rPr>
            </w:pPr>
            <w:r w:rsidRPr="006F5DFE">
              <w:rPr>
                <w:rFonts w:ascii="Arial Narrow" w:eastAsia="Times New Roman" w:hAnsi="Arial Narrow" w:cs="Times New Roman"/>
                <w:color w:val="000000"/>
                <w:sz w:val="16"/>
                <w:szCs w:val="16"/>
              </w:rPr>
              <w:t>104.8</w:t>
            </w:r>
          </w:p>
        </w:tc>
      </w:tr>
    </w:tbl>
    <w:p w14:paraId="23C269F2" w14:textId="77777777" w:rsidR="00F708FF" w:rsidRDefault="00F708FF" w:rsidP="00F708FF"/>
    <w:p w14:paraId="667AEF0B" w14:textId="1C70859C" w:rsidR="00F708FF" w:rsidRPr="00990740" w:rsidRDefault="00F708FF" w:rsidP="00F708FF">
      <w:pPr>
        <w:rPr>
          <w:rFonts w:asciiTheme="majorHAnsi" w:hAnsiTheme="majorHAnsi"/>
          <w:sz w:val="24"/>
          <w:szCs w:val="24"/>
        </w:rPr>
      </w:pPr>
      <w:r>
        <w:t>“</w:t>
      </w:r>
      <w:r w:rsidRPr="00990740">
        <w:rPr>
          <w:rFonts w:asciiTheme="majorHAnsi" w:hAnsiTheme="majorHAnsi"/>
          <w:sz w:val="24"/>
          <w:szCs w:val="24"/>
        </w:rPr>
        <w:t xml:space="preserve">Using Hepatitis C surveillance data captured in PRISM, </w:t>
      </w:r>
      <w:r>
        <w:rPr>
          <w:rFonts w:asciiTheme="majorHAnsi" w:hAnsiTheme="majorHAnsi"/>
          <w:sz w:val="24"/>
          <w:szCs w:val="24"/>
        </w:rPr>
        <w:t xml:space="preserve">it appears that in 2017, there were 3,936 reports of </w:t>
      </w:r>
      <w:r w:rsidRPr="00990740">
        <w:rPr>
          <w:rFonts w:asciiTheme="majorHAnsi" w:hAnsiTheme="majorHAnsi"/>
          <w:sz w:val="24"/>
          <w:szCs w:val="24"/>
        </w:rPr>
        <w:t>hepatitis C infecte</w:t>
      </w:r>
      <w:r>
        <w:rPr>
          <w:rFonts w:asciiTheme="majorHAnsi" w:hAnsiTheme="majorHAnsi"/>
          <w:sz w:val="24"/>
          <w:szCs w:val="24"/>
        </w:rPr>
        <w:t>d with a population of 2,984,100</w:t>
      </w:r>
      <w:r w:rsidRPr="00990740">
        <w:rPr>
          <w:rFonts w:asciiTheme="majorHAnsi" w:hAnsiTheme="majorHAnsi"/>
          <w:sz w:val="24"/>
          <w:szCs w:val="24"/>
        </w:rPr>
        <w:t xml:space="preserve">.  Based on this estimate, the estimated prevalence is </w:t>
      </w:r>
      <w:r>
        <w:rPr>
          <w:rFonts w:asciiTheme="majorHAnsi" w:hAnsiTheme="majorHAnsi"/>
          <w:b/>
          <w:sz w:val="24"/>
          <w:szCs w:val="24"/>
        </w:rPr>
        <w:t>0.13</w:t>
      </w:r>
      <w:r w:rsidRPr="00D27984">
        <w:rPr>
          <w:rFonts w:asciiTheme="majorHAnsi" w:hAnsiTheme="majorHAnsi"/>
          <w:b/>
          <w:sz w:val="24"/>
          <w:szCs w:val="24"/>
        </w:rPr>
        <w:t>%</w:t>
      </w:r>
      <w:r w:rsidRPr="00990740">
        <w:rPr>
          <w:rFonts w:asciiTheme="majorHAnsi" w:hAnsiTheme="majorHAnsi"/>
          <w:sz w:val="24"/>
          <w:szCs w:val="24"/>
        </w:rPr>
        <w:t xml:space="preserve"> of the total population.  Due to the limitation of lab entry into surveillance database, other estimates were assessed.</w:t>
      </w:r>
      <w:r>
        <w:rPr>
          <w:rFonts w:asciiTheme="majorHAnsi" w:hAnsiTheme="majorHAnsi"/>
          <w:sz w:val="24"/>
          <w:szCs w:val="24"/>
        </w:rPr>
        <w:t>”</w:t>
      </w:r>
    </w:p>
    <w:p w14:paraId="1E966A37" w14:textId="62BF7867" w:rsidR="00F708FF" w:rsidRDefault="00F708FF" w:rsidP="00F708FF"/>
    <w:p w14:paraId="4215996F" w14:textId="77777777" w:rsidR="00F708FF" w:rsidRDefault="00F708FF" w:rsidP="008B77C5">
      <w:r>
        <w:br w:type="page"/>
      </w:r>
    </w:p>
    <w:p w14:paraId="5DC00938" w14:textId="1B0FA40F" w:rsidR="008B77C5" w:rsidRDefault="008B77C5" w:rsidP="008B77C5">
      <w:r>
        <w:lastRenderedPageBreak/>
        <w:t>Opioid Prescriptions</w:t>
      </w:r>
    </w:p>
    <w:p w14:paraId="2B2E806A" w14:textId="643D3CAC" w:rsidR="008B77C5" w:rsidRDefault="008B77C5" w:rsidP="008B77C5">
      <w:pPr>
        <w:pStyle w:val="Standard"/>
      </w:pPr>
      <w:r>
        <w:t xml:space="preserve">Topic: </w:t>
      </w:r>
      <w:r w:rsidR="00AC1F00">
        <w:t>Prescription</w:t>
      </w:r>
    </w:p>
    <w:p w14:paraId="320123FF" w14:textId="34E367CA" w:rsidR="008B77C5" w:rsidRDefault="008B77C5" w:rsidP="008B77C5">
      <w:pPr>
        <w:pStyle w:val="Standard"/>
      </w:pPr>
      <w:r>
        <w:t xml:space="preserve">Data Source: </w:t>
      </w:r>
      <w:r w:rsidR="00F811E7">
        <w:t>Opioid and Benzodiazepine Prescriptions in Mississippi</w:t>
      </w:r>
      <w:r w:rsidR="006C5AE0">
        <w:t xml:space="preserve"> – 2018 Prescription Data Update</w:t>
      </w:r>
      <w:r w:rsidR="00684496">
        <w:t xml:space="preserve"> – Figure 1</w:t>
      </w:r>
    </w:p>
    <w:p w14:paraId="70CEBE08" w14:textId="26B6F29E" w:rsidR="008B77C5" w:rsidRDefault="008B77C5" w:rsidP="008B77C5">
      <w:pPr>
        <w:pStyle w:val="Standard"/>
      </w:pPr>
      <w:r>
        <w:t xml:space="preserve">Maintained: Mississippi </w:t>
      </w:r>
      <w:r w:rsidR="006C5AE0">
        <w:t>Board of Pharmacy</w:t>
      </w:r>
      <w:r w:rsidR="004A08AD">
        <w:t>, NSPARC</w:t>
      </w:r>
    </w:p>
    <w:p w14:paraId="5386664C" w14:textId="4A5B94CA" w:rsidR="00983804" w:rsidRDefault="00983804" w:rsidP="008B77C5">
      <w:pPr>
        <w:pStyle w:val="Standard"/>
      </w:pPr>
      <w:r>
        <w:t xml:space="preserve">Document Name: Opioid and Benzodiazepine Prescriptions in Mississippi; 2018 </w:t>
      </w:r>
      <w:r w:rsidR="001D294A">
        <w:t>Prescription Data Update</w:t>
      </w:r>
      <w:r w:rsidR="002824A7">
        <w:t>; February 2019</w:t>
      </w:r>
    </w:p>
    <w:p w14:paraId="465D354A" w14:textId="77777777" w:rsidR="008B77C5" w:rsidRDefault="008B77C5" w:rsidP="008B77C5">
      <w:pPr>
        <w:pStyle w:val="Standard"/>
      </w:pPr>
      <w:r>
        <w:t>Accessibility: TBD</w:t>
      </w:r>
    </w:p>
    <w:p w14:paraId="00D21F72" w14:textId="71871562" w:rsidR="008B77C5" w:rsidRDefault="008B77C5" w:rsidP="008B77C5">
      <w:pPr>
        <w:pStyle w:val="Standard"/>
      </w:pPr>
      <w:r>
        <w:t xml:space="preserve">Example URL: </w:t>
      </w:r>
      <w:hyperlink r:id="rId12" w:history="1">
        <w:r w:rsidR="005A1C00">
          <w:rPr>
            <w:rStyle w:val="Hyperlink"/>
          </w:rPr>
          <w:t>https://pmp.mbp.ms.gov/statistics/</w:t>
        </w:r>
      </w:hyperlink>
    </w:p>
    <w:p w14:paraId="180CF770" w14:textId="77777777" w:rsidR="008B77C5" w:rsidRDefault="008B77C5" w:rsidP="008B77C5">
      <w:pPr>
        <w:pStyle w:val="Standard"/>
      </w:pPr>
      <w:r>
        <w:t>Years available: 2017,2018</w:t>
      </w:r>
    </w:p>
    <w:p w14:paraId="447D3ECF" w14:textId="6D09AAB4" w:rsidR="008B77C5" w:rsidRDefault="008B77C5" w:rsidP="008B77C5">
      <w:pPr>
        <w:pStyle w:val="Standard"/>
        <w:rPr>
          <w:rFonts w:ascii="Calibri" w:hAnsi="Calibri" w:cs="Calibri"/>
          <w:color w:val="C82613"/>
          <w:sz w:val="22"/>
          <w:szCs w:val="22"/>
          <w:shd w:val="clear" w:color="auto" w:fill="FFFFFF"/>
        </w:rPr>
      </w:pPr>
      <w:r>
        <w:t xml:space="preserve">Comment from Meg: </w:t>
      </w:r>
      <w:r w:rsidR="00684496">
        <w:rPr>
          <w:rFonts w:ascii="Calibri" w:hAnsi="Calibri" w:cs="Calibri"/>
          <w:color w:val="000000"/>
          <w:sz w:val="22"/>
          <w:szCs w:val="22"/>
          <w:shd w:val="clear" w:color="auto" w:fill="FFFFFF"/>
        </w:rPr>
        <w:t>NSPARC report posted at:  </w:t>
      </w:r>
      <w:hyperlink r:id="rId13" w:tgtFrame="_blank" w:history="1">
        <w:r w:rsidR="00684496">
          <w:rPr>
            <w:rStyle w:val="Hyperlink"/>
            <w:rFonts w:ascii="Calibri" w:hAnsi="Calibri" w:cs="Calibri"/>
            <w:color w:val="1155CC"/>
            <w:sz w:val="22"/>
            <w:szCs w:val="22"/>
            <w:shd w:val="clear" w:color="auto" w:fill="FFFFFF"/>
          </w:rPr>
          <w:t>https://pmp.mbp.ms.gov/statistics/</w:t>
        </w:r>
      </w:hyperlink>
      <w:r w:rsidR="00684496">
        <w:rPr>
          <w:rFonts w:ascii="Calibri" w:hAnsi="Calibri" w:cs="Calibri"/>
          <w:color w:val="000000"/>
          <w:sz w:val="22"/>
          <w:szCs w:val="22"/>
          <w:shd w:val="clear" w:color="auto" w:fill="FFFFFF"/>
        </w:rPr>
        <w:t>; </w:t>
      </w:r>
      <w:r w:rsidR="00684496">
        <w:rPr>
          <w:rFonts w:ascii="Calibri" w:hAnsi="Calibri" w:cs="Calibri"/>
          <w:color w:val="C82613"/>
          <w:sz w:val="22"/>
          <w:szCs w:val="22"/>
          <w:shd w:val="clear" w:color="auto" w:fill="FFFFFF"/>
        </w:rPr>
        <w:t>In public health review of this report, we noted that the MME for prescriptions is above similar national reports as well as a report produced by MSDH </w:t>
      </w:r>
      <w:r w:rsidR="00684496">
        <w:rPr>
          <w:rFonts w:ascii="Calibri" w:hAnsi="Calibri" w:cs="Calibri"/>
          <w:color w:val="000000"/>
          <w:sz w:val="22"/>
          <w:szCs w:val="22"/>
          <w:shd w:val="clear" w:color="auto" w:fill="FFFFFF"/>
        </w:rPr>
        <w:t>(</w:t>
      </w:r>
      <w:hyperlink r:id="rId14" w:tgtFrame="_blank" w:history="1">
        <w:r w:rsidR="00684496">
          <w:rPr>
            <w:rStyle w:val="Hyperlink"/>
            <w:rFonts w:ascii="Calibri" w:hAnsi="Calibri" w:cs="Calibri"/>
            <w:color w:val="1155CC"/>
            <w:sz w:val="22"/>
            <w:szCs w:val="22"/>
            <w:shd w:val="clear" w:color="auto" w:fill="FFFFFF"/>
          </w:rPr>
          <w:t>https://msdh.ms.gov/msdhsite/_static/resources/7822.pdf)</w:t>
        </w:r>
      </w:hyperlink>
      <w:r w:rsidR="00684496">
        <w:rPr>
          <w:rFonts w:ascii="Calibri" w:hAnsi="Calibri" w:cs="Calibri"/>
          <w:color w:val="000000"/>
          <w:sz w:val="22"/>
          <w:szCs w:val="22"/>
          <w:shd w:val="clear" w:color="auto" w:fill="FFFFFF"/>
        </w:rPr>
        <w:t>.  </w:t>
      </w:r>
      <w:r w:rsidR="00684496">
        <w:rPr>
          <w:rFonts w:ascii="Calibri" w:hAnsi="Calibri" w:cs="Calibri"/>
          <w:color w:val="C82613"/>
          <w:sz w:val="22"/>
          <w:szCs w:val="22"/>
          <w:shd w:val="clear" w:color="auto" w:fill="FFFFFF"/>
        </w:rPr>
        <w:t>Additionally, we in public health are always very cautious when Issaquena county ranks either first or last - this is a farming community with a total population around 1,400 people. </w:t>
      </w:r>
    </w:p>
    <w:p w14:paraId="13DF563E" w14:textId="0A3D45E9" w:rsidR="008B77C5" w:rsidRDefault="008B77C5" w:rsidP="008B77C5">
      <w:r>
        <w:t xml:space="preserve">Data Wrangling Notes: </w:t>
      </w:r>
      <w:r w:rsidR="00C545DD">
        <w:t>Manually typed from PDF map.</w:t>
      </w:r>
    </w:p>
    <w:p w14:paraId="6BAFC393" w14:textId="61388F45" w:rsidR="00282D28" w:rsidRDefault="00282D28" w:rsidP="008B77C5">
      <w:r>
        <w:t>Notes: Data are from the Mississippi Prescription Monitoring Program (PMP)</w:t>
      </w:r>
      <w:r w:rsidR="004B5CD9">
        <w:t>.</w:t>
      </w:r>
      <w:r w:rsidR="008D78D4">
        <w:t xml:space="preserve">  Data is deduplicated to represent unique persons who receive </w:t>
      </w:r>
      <w:r w:rsidR="00A13EFF">
        <w:t>opioid prescriptions.</w:t>
      </w:r>
      <w:r w:rsidR="00EE51B3">
        <w:t xml:space="preserve">  It appears that the estimate that 485 per 1000 (or </w:t>
      </w:r>
      <w:r w:rsidR="00AD1FC6">
        <w:t xml:space="preserve">48.5%) of residents of </w:t>
      </w:r>
      <w:proofErr w:type="spellStart"/>
      <w:r w:rsidR="00AD1FC6">
        <w:t>Issaquana</w:t>
      </w:r>
      <w:proofErr w:type="spellEnd"/>
      <w:r w:rsidR="00AD1FC6">
        <w:t xml:space="preserve"> county is reasonable.</w:t>
      </w:r>
    </w:p>
    <w:p w14:paraId="51DD2A0C" w14:textId="527E627E" w:rsidR="00DB07B2" w:rsidRDefault="00DB07B2" w:rsidP="008B77C5">
      <w:r>
        <w:t xml:space="preserve">The report does not have MME </w:t>
      </w:r>
      <w:r w:rsidR="000A1928">
        <w:t xml:space="preserve">prescription available at the county level.  It is not currently known if MME standardized to a </w:t>
      </w:r>
      <w:proofErr w:type="gramStart"/>
      <w:r w:rsidR="000A1928">
        <w:t>per capita measure providers</w:t>
      </w:r>
      <w:proofErr w:type="gramEnd"/>
      <w:r w:rsidR="000A1928">
        <w:t xml:space="preserve"> a more accurate measure of </w:t>
      </w:r>
      <w:r w:rsidR="0019207A">
        <w:t xml:space="preserve">prescriptions than per capita prescriptions.  Also, it appears </w:t>
      </w:r>
      <w:r w:rsidR="00E8141D">
        <w:t xml:space="preserve">that the data is limited to Mississippi providers and Mississippi residents.  As such, it would not capture providers who serve out of state clients, either due to </w:t>
      </w:r>
      <w:r w:rsidR="00077D74">
        <w:t xml:space="preserve">cross-border </w:t>
      </w:r>
      <w:r w:rsidR="002224CC">
        <w:t>treatment with states such as Louisiana or Alabama, or so-called “pill mill” providers who bring in patients from far away.</w:t>
      </w:r>
    </w:p>
    <w:p w14:paraId="0593ABBC" w14:textId="4EA28C5B" w:rsidR="00AD4ABE" w:rsidRDefault="003040ED">
      <w:r>
        <w:rPr>
          <w:noProof/>
        </w:rPr>
        <w:drawing>
          <wp:inline distT="0" distB="0" distL="0" distR="0" wp14:anchorId="01645D1B" wp14:editId="25DC3229">
            <wp:extent cx="5414010" cy="3045381"/>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417591" cy="3047395"/>
                    </a:xfrm>
                    <a:prstGeom prst="rect">
                      <a:avLst/>
                    </a:prstGeom>
                  </pic:spPr>
                </pic:pic>
              </a:graphicData>
            </a:graphic>
          </wp:inline>
        </w:drawing>
      </w:r>
      <w:r w:rsidR="00AD4ABE">
        <w:br w:type="page"/>
      </w:r>
    </w:p>
    <w:p w14:paraId="26055A80" w14:textId="6CC1DFC2" w:rsidR="00F428C1" w:rsidRDefault="00AD4ABE">
      <w:r>
        <w:lastRenderedPageBreak/>
        <w:t>Technical Notes:</w:t>
      </w:r>
    </w:p>
    <w:p w14:paraId="64B21215" w14:textId="17B4D4DA" w:rsidR="00AD4ABE" w:rsidRDefault="00AD4ABE">
      <w:r>
        <w:t>As of April 21, 2019, the following deployment options are available</w:t>
      </w:r>
      <w:r w:rsidR="00487EE5">
        <w:t>.  American Community Survey Per Capita Income</w:t>
      </w:r>
      <w:r w:rsidR="00A3596C">
        <w:t xml:space="preserve"> I used as an example dataset, as it is available to the </w:t>
      </w:r>
      <w:r w:rsidR="00487EE5">
        <w:t>public</w:t>
      </w:r>
      <w:r>
        <w:t>:</w:t>
      </w:r>
    </w:p>
    <w:p w14:paraId="0DB3A8AA" w14:textId="49071621" w:rsidR="00AD4ABE" w:rsidRDefault="00AD4ABE">
      <w:r>
        <w:t>Power BI – Static Maps (Private, Static)</w:t>
      </w:r>
    </w:p>
    <w:p w14:paraId="2FE8D3B8" w14:textId="66C1A8B7" w:rsidR="00487EE5" w:rsidRDefault="005E44C4">
      <w:r>
        <w:rPr>
          <w:noProof/>
        </w:rPr>
        <w:drawing>
          <wp:inline distT="0" distB="0" distL="0" distR="0" wp14:anchorId="2E72756F" wp14:editId="30634421">
            <wp:extent cx="5943600" cy="33432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3343275"/>
                    </a:xfrm>
                    <a:prstGeom prst="rect">
                      <a:avLst/>
                    </a:prstGeom>
                  </pic:spPr>
                </pic:pic>
              </a:graphicData>
            </a:graphic>
          </wp:inline>
        </w:drawing>
      </w:r>
    </w:p>
    <w:p w14:paraId="0EF83B0D" w14:textId="5FF9AD31" w:rsidR="00AD4ABE" w:rsidRDefault="00AD4ABE">
      <w:r>
        <w:t>Power BI – Service (Public, Interactive)</w:t>
      </w:r>
    </w:p>
    <w:p w14:paraId="087617D5" w14:textId="0460118C" w:rsidR="00487EE5" w:rsidRDefault="00A3596C">
      <w:hyperlink r:id="rId17" w:history="1">
        <w:r w:rsidR="00475A9A" w:rsidRPr="00656D21">
          <w:rPr>
            <w:rStyle w:val="Hyperlink"/>
          </w:rPr>
          <w:t>https://app.powerbi.com/view?r=eyJrIjoiYmRkMDM2MDYtNjBjYi00OTUwLTliNjctOWZhNjYzODMwYWU0IiwidCI6IjcxZjNhYTMyLTg2NTYtNGU4Yi1iMTUxLTBkNWEwYjBkM</w:t>
        </w:r>
        <w:r w:rsidR="00475A9A" w:rsidRPr="00656D21">
          <w:rPr>
            <w:rStyle w:val="Hyperlink"/>
          </w:rPr>
          <w:t>j</w:t>
        </w:r>
        <w:r w:rsidR="00475A9A" w:rsidRPr="00656D21">
          <w:rPr>
            <w:rStyle w:val="Hyperlink"/>
          </w:rPr>
          <w:t>hiMCJ9</w:t>
        </w:r>
      </w:hyperlink>
    </w:p>
    <w:p w14:paraId="244F1F02" w14:textId="748DCB4C" w:rsidR="00475A9A" w:rsidRDefault="00475A9A">
      <w:r>
        <w:rPr>
          <w:noProof/>
        </w:rPr>
        <w:lastRenderedPageBreak/>
        <w:drawing>
          <wp:inline distT="0" distB="0" distL="0" distR="0" wp14:anchorId="7EBD1F96" wp14:editId="4501A7AF">
            <wp:extent cx="5943600" cy="33432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343275"/>
                    </a:xfrm>
                    <a:prstGeom prst="rect">
                      <a:avLst/>
                    </a:prstGeom>
                  </pic:spPr>
                </pic:pic>
              </a:graphicData>
            </a:graphic>
          </wp:inline>
        </w:drawing>
      </w:r>
    </w:p>
    <w:p w14:paraId="5D7F1464" w14:textId="3FB70008" w:rsidR="00AD4ABE" w:rsidRDefault="00AD4ABE">
      <w:r>
        <w:t xml:space="preserve">R </w:t>
      </w:r>
      <w:r w:rsidR="00BF1266">
        <w:t>– Static Images (Private, Static)</w:t>
      </w:r>
    </w:p>
    <w:p w14:paraId="6A8907CC" w14:textId="1B476015" w:rsidR="00DD55EA" w:rsidRDefault="00DD55EA">
      <w:r>
        <w:rPr>
          <w:noProof/>
        </w:rPr>
        <w:drawing>
          <wp:inline distT="0" distB="0" distL="0" distR="0" wp14:anchorId="6841096D" wp14:editId="0731C461">
            <wp:extent cx="3779520" cy="283464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779520" cy="2834640"/>
                    </a:xfrm>
                    <a:prstGeom prst="rect">
                      <a:avLst/>
                    </a:prstGeom>
                    <a:noFill/>
                    <a:ln>
                      <a:noFill/>
                    </a:ln>
                  </pic:spPr>
                </pic:pic>
              </a:graphicData>
            </a:graphic>
          </wp:inline>
        </w:drawing>
      </w:r>
    </w:p>
    <w:p w14:paraId="1FBF9973" w14:textId="22832BA4" w:rsidR="00BF1266" w:rsidRDefault="00BF1266">
      <w:r>
        <w:t>R – Interactive (Public, Interactive)</w:t>
      </w:r>
      <w:r w:rsidR="006F455A">
        <w:t xml:space="preserve"> </w:t>
      </w:r>
      <w:hyperlink r:id="rId19" w:history="1">
        <w:r w:rsidR="006F455A">
          <w:rPr>
            <w:rStyle w:val="Hyperlink"/>
          </w:rPr>
          <w:t>http://rpubs.com/ccustis/MS_Income_Demo</w:t>
        </w:r>
      </w:hyperlink>
    </w:p>
    <w:p w14:paraId="1D2DF167" w14:textId="0EF8D6F3" w:rsidR="003203AD" w:rsidRDefault="003203AD">
      <w:bookmarkStart w:id="0" w:name="_GoBack"/>
      <w:bookmarkEnd w:id="0"/>
      <w:r>
        <w:rPr>
          <w:noProof/>
        </w:rPr>
        <w:lastRenderedPageBreak/>
        <w:drawing>
          <wp:inline distT="0" distB="0" distL="0" distR="0" wp14:anchorId="7B5AE5DD" wp14:editId="41A45AF8">
            <wp:extent cx="5943600" cy="33432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3343275"/>
                    </a:xfrm>
                    <a:prstGeom prst="rect">
                      <a:avLst/>
                    </a:prstGeom>
                  </pic:spPr>
                </pic:pic>
              </a:graphicData>
            </a:graphic>
          </wp:inline>
        </w:drawing>
      </w:r>
    </w:p>
    <w:sectPr w:rsidR="003203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11F"/>
    <w:rsid w:val="00002E55"/>
    <w:rsid w:val="00043323"/>
    <w:rsid w:val="00077D74"/>
    <w:rsid w:val="00084121"/>
    <w:rsid w:val="000A1928"/>
    <w:rsid w:val="000C288C"/>
    <w:rsid w:val="000E160F"/>
    <w:rsid w:val="00123457"/>
    <w:rsid w:val="00130727"/>
    <w:rsid w:val="00146840"/>
    <w:rsid w:val="0019207A"/>
    <w:rsid w:val="001B73FA"/>
    <w:rsid w:val="001D294A"/>
    <w:rsid w:val="001F5ADE"/>
    <w:rsid w:val="001F77E8"/>
    <w:rsid w:val="0021356A"/>
    <w:rsid w:val="002224CC"/>
    <w:rsid w:val="00274F47"/>
    <w:rsid w:val="002824A7"/>
    <w:rsid w:val="00282D28"/>
    <w:rsid w:val="002857FA"/>
    <w:rsid w:val="002C13D8"/>
    <w:rsid w:val="003040ED"/>
    <w:rsid w:val="003203AD"/>
    <w:rsid w:val="003357E1"/>
    <w:rsid w:val="00347AF2"/>
    <w:rsid w:val="003F6B5A"/>
    <w:rsid w:val="00422AE1"/>
    <w:rsid w:val="00453439"/>
    <w:rsid w:val="00470563"/>
    <w:rsid w:val="004715D9"/>
    <w:rsid w:val="00475A9A"/>
    <w:rsid w:val="00487EE5"/>
    <w:rsid w:val="004A08AD"/>
    <w:rsid w:val="004A4D39"/>
    <w:rsid w:val="004A7070"/>
    <w:rsid w:val="004B04EA"/>
    <w:rsid w:val="004B5CD9"/>
    <w:rsid w:val="004F6F10"/>
    <w:rsid w:val="005A1C00"/>
    <w:rsid w:val="005B5A77"/>
    <w:rsid w:val="005E44C4"/>
    <w:rsid w:val="005F780A"/>
    <w:rsid w:val="00611C98"/>
    <w:rsid w:val="00636378"/>
    <w:rsid w:val="006478B2"/>
    <w:rsid w:val="006544FE"/>
    <w:rsid w:val="00670E67"/>
    <w:rsid w:val="0067111F"/>
    <w:rsid w:val="00684496"/>
    <w:rsid w:val="006C5AE0"/>
    <w:rsid w:val="006E30FF"/>
    <w:rsid w:val="006F218B"/>
    <w:rsid w:val="006F455A"/>
    <w:rsid w:val="00713574"/>
    <w:rsid w:val="007E6289"/>
    <w:rsid w:val="008561FA"/>
    <w:rsid w:val="0087690D"/>
    <w:rsid w:val="008B77C5"/>
    <w:rsid w:val="008C0470"/>
    <w:rsid w:val="008D78D4"/>
    <w:rsid w:val="00900F3B"/>
    <w:rsid w:val="00940047"/>
    <w:rsid w:val="0096649A"/>
    <w:rsid w:val="00983804"/>
    <w:rsid w:val="00993776"/>
    <w:rsid w:val="009A3D6B"/>
    <w:rsid w:val="009B6335"/>
    <w:rsid w:val="009C2389"/>
    <w:rsid w:val="009C7861"/>
    <w:rsid w:val="009E74C6"/>
    <w:rsid w:val="009E7EE9"/>
    <w:rsid w:val="00A06F3B"/>
    <w:rsid w:val="00A13EFF"/>
    <w:rsid w:val="00A322A0"/>
    <w:rsid w:val="00A3596C"/>
    <w:rsid w:val="00A91FC0"/>
    <w:rsid w:val="00AA54B4"/>
    <w:rsid w:val="00AB7BBA"/>
    <w:rsid w:val="00AC067D"/>
    <w:rsid w:val="00AC1F00"/>
    <w:rsid w:val="00AD1B8B"/>
    <w:rsid w:val="00AD1FC6"/>
    <w:rsid w:val="00AD4ABE"/>
    <w:rsid w:val="00AD54FE"/>
    <w:rsid w:val="00B1059C"/>
    <w:rsid w:val="00B1484F"/>
    <w:rsid w:val="00B420D1"/>
    <w:rsid w:val="00BA12DC"/>
    <w:rsid w:val="00BC3A79"/>
    <w:rsid w:val="00BF1266"/>
    <w:rsid w:val="00C545DD"/>
    <w:rsid w:val="00C85625"/>
    <w:rsid w:val="00D11B76"/>
    <w:rsid w:val="00D16EFF"/>
    <w:rsid w:val="00D817FA"/>
    <w:rsid w:val="00D952E3"/>
    <w:rsid w:val="00DB07B2"/>
    <w:rsid w:val="00DD55EA"/>
    <w:rsid w:val="00E12D36"/>
    <w:rsid w:val="00E20567"/>
    <w:rsid w:val="00E4304C"/>
    <w:rsid w:val="00E8141D"/>
    <w:rsid w:val="00EE1292"/>
    <w:rsid w:val="00EE51B3"/>
    <w:rsid w:val="00EF1341"/>
    <w:rsid w:val="00EF6F0A"/>
    <w:rsid w:val="00F428C1"/>
    <w:rsid w:val="00F651B4"/>
    <w:rsid w:val="00F655D0"/>
    <w:rsid w:val="00F708FF"/>
    <w:rsid w:val="00F811E7"/>
    <w:rsid w:val="00FA261C"/>
    <w:rsid w:val="00FE16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9F7EA"/>
  <w15:chartTrackingRefBased/>
  <w15:docId w15:val="{B963D676-7489-4B41-8A03-3406BB6F2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EF6F0A"/>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paragraph" w:styleId="BalloonText">
    <w:name w:val="Balloon Text"/>
    <w:basedOn w:val="Normal"/>
    <w:link w:val="BalloonTextChar"/>
    <w:uiPriority w:val="99"/>
    <w:semiHidden/>
    <w:unhideWhenUsed/>
    <w:rsid w:val="002C13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13D8"/>
    <w:rPr>
      <w:rFonts w:ascii="Segoe UI" w:hAnsi="Segoe UI" w:cs="Segoe UI"/>
      <w:sz w:val="18"/>
      <w:szCs w:val="18"/>
    </w:rPr>
  </w:style>
  <w:style w:type="character" w:styleId="Hyperlink">
    <w:name w:val="Hyperlink"/>
    <w:basedOn w:val="DefaultParagraphFont"/>
    <w:uiPriority w:val="99"/>
    <w:unhideWhenUsed/>
    <w:rsid w:val="002C13D8"/>
    <w:rPr>
      <w:color w:val="0000FF"/>
      <w:u w:val="single"/>
    </w:rPr>
  </w:style>
  <w:style w:type="character" w:customStyle="1" w:styleId="il">
    <w:name w:val="il"/>
    <w:basedOn w:val="DefaultParagraphFont"/>
    <w:rsid w:val="007E6289"/>
  </w:style>
  <w:style w:type="character" w:styleId="UnresolvedMention">
    <w:name w:val="Unresolved Mention"/>
    <w:basedOn w:val="DefaultParagraphFont"/>
    <w:uiPriority w:val="99"/>
    <w:semiHidden/>
    <w:unhideWhenUsed/>
    <w:rsid w:val="00475A9A"/>
    <w:rPr>
      <w:color w:val="605E5C"/>
      <w:shd w:val="clear" w:color="auto" w:fill="E1DFDD"/>
    </w:rPr>
  </w:style>
  <w:style w:type="character" w:styleId="FollowedHyperlink">
    <w:name w:val="FollowedHyperlink"/>
    <w:basedOn w:val="DefaultParagraphFont"/>
    <w:uiPriority w:val="99"/>
    <w:semiHidden/>
    <w:unhideWhenUsed/>
    <w:rsid w:val="002857F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pmp.mbp.ms.gov/statistics/" TargetMode="External"/><Relationship Id="rId18" Type="http://schemas.openxmlformats.org/officeDocument/2006/relationships/image" Target="media/image7.pn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app.powerbi.com/view?r=eyJrIjoiMzAxMjgyZmMtZmVjYi00ZDU2LTgyOGMtYzFhOWExNzE1MDRiIiwidCI6IjcxZjNhYTMyLTg2NTYtNGU4Yi1iMTUxLTBkNWEwYjBkMjhiMCJ9" TargetMode="External"/><Relationship Id="rId12" Type="http://schemas.openxmlformats.org/officeDocument/2006/relationships/hyperlink" Target="https://pmp.mbp.ms.gov/statistics/" TargetMode="External"/><Relationship Id="rId17" Type="http://schemas.openxmlformats.org/officeDocument/2006/relationships/hyperlink" Target="https://app.powerbi.com/view?r=eyJrIjoiYmRkMDM2MDYtNjBjYi00OTUwLTliNjctOWZhNjYzODMwYWU0IiwidCI6IjcxZjNhYTMyLTg2NTYtNGU4Yi1iMTUxLTBkNWEwYjBkMjhiMCJ9" TargetMode="External"/><Relationship Id="rId2" Type="http://schemas.openxmlformats.org/officeDocument/2006/relationships/settings" Target="settings.xml"/><Relationship Id="rId16" Type="http://schemas.openxmlformats.org/officeDocument/2006/relationships/image" Target="media/image6.png"/><Relationship Id="rId20" Type="http://schemas.openxmlformats.org/officeDocument/2006/relationships/image" Target="media/image8.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hyperlink" Target="https://www.census.gov/programs-surveys/acs/guidance/estimates.html" TargetMode="External"/><Relationship Id="rId15" Type="http://schemas.openxmlformats.org/officeDocument/2006/relationships/image" Target="media/image5.png"/><Relationship Id="rId10" Type="http://schemas.openxmlformats.org/officeDocument/2006/relationships/hyperlink" Target="https://www.census.gov/programs-surveys/acs" TargetMode="External"/><Relationship Id="rId19" Type="http://schemas.openxmlformats.org/officeDocument/2006/relationships/hyperlink" Target="http://rpubs.com/ccustis/MS_Income_Demo" TargetMode="External"/><Relationship Id="rId4" Type="http://schemas.openxmlformats.org/officeDocument/2006/relationships/hyperlink" Target="https://www.census.gov/programs-surveys/acs" TargetMode="External"/><Relationship Id="rId9" Type="http://schemas.openxmlformats.org/officeDocument/2006/relationships/image" Target="media/image3.png"/><Relationship Id="rId14" Type="http://schemas.openxmlformats.org/officeDocument/2006/relationships/hyperlink" Target="https://msdh.ms.gov/msdhsite/_static/resources/7822.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240</TotalTime>
  <Pages>10</Pages>
  <Words>1523</Words>
  <Characters>8686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Custis</dc:creator>
  <cp:keywords/>
  <dc:description/>
  <cp:lastModifiedBy>Cody Custis</cp:lastModifiedBy>
  <cp:revision>113</cp:revision>
  <dcterms:created xsi:type="dcterms:W3CDTF">2019-04-17T01:23:00Z</dcterms:created>
  <dcterms:modified xsi:type="dcterms:W3CDTF">2019-05-05T19:01:00Z</dcterms:modified>
</cp:coreProperties>
</file>