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40D95656" w:rsidR="00B93B99" w:rsidRDefault="00B93B99" w:rsidP="00B93B99">
      <w:pPr>
        <w:pStyle w:val="Standard"/>
      </w:pPr>
      <w:r>
        <w:t>Technical Appendices</w:t>
      </w:r>
      <w:r w:rsidR="008736DE">
        <w:t>; May 5, 2019</w:t>
      </w:r>
    </w:p>
    <w:p w14:paraId="01439A6A" w14:textId="77777777" w:rsidR="00B93B99" w:rsidRDefault="00B93B99" w:rsidP="00B93B99">
      <w:pPr>
        <w:pStyle w:val="Standard"/>
      </w:pPr>
      <w:r>
        <w:t>Cody L. Custis, Jordan Larson; Tsuro Consulting</w:t>
      </w:r>
    </w:p>
    <w:p w14:paraId="22481FF0" w14:textId="365299CF" w:rsidR="00E14048" w:rsidRDefault="00AE491F"/>
    <w:p w14:paraId="19E36F18" w14:textId="38F2E21F" w:rsidR="00B93B99" w:rsidRDefault="00B93B99">
      <w:r>
        <w:t>Introduction:</w:t>
      </w:r>
    </w:p>
    <w:p w14:paraId="611093D0" w14:textId="09D77E50" w:rsidR="00B93B99" w:rsidRDefault="00B93B99" w:rsidP="00B93B99">
      <w:r>
        <w:tab/>
        <w:t xml:space="preserve">This document summarizes a number of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p w14:paraId="21F672FA" w14:textId="6CD20438" w:rsidR="00E61F9E" w:rsidRDefault="00E61F9E" w:rsidP="00B93B99">
      <w:r>
        <w:t>Disclaimer: the views and opinions expressed in this document are those of the authors, Cody Custis and Jordan Larson, both of Tsuro Consulting, and do not necessarily reflect the official policy or position of the Centers for Disease Control and Prevention, the Council of State and Territorial Epidemiologists, or any state, local, or tribal health agency.</w:t>
      </w:r>
    </w:p>
    <w:p w14:paraId="4FF8D686" w14:textId="184AA807" w:rsidR="008736DE" w:rsidRDefault="008736DE" w:rsidP="00B93B99"/>
    <w:p w14:paraId="031CC3C0" w14:textId="68B30544" w:rsidR="008736DE" w:rsidRDefault="008736DE" w:rsidP="00B93B99">
      <w:r>
        <w:t>Table of Contents</w:t>
      </w:r>
      <w:r w:rsidR="00C175E6">
        <w:t>:</w:t>
      </w:r>
    </w:p>
    <w:p w14:paraId="36DDE5A9" w14:textId="11AE6053" w:rsidR="00C175E6" w:rsidRDefault="00C175E6" w:rsidP="00B93B99">
      <w:r>
        <w:t>ICD-10-CM Transition</w:t>
      </w:r>
    </w:p>
    <w:p w14:paraId="69B2190E" w14:textId="584FDEBD" w:rsidR="00C175E6" w:rsidRDefault="00C175E6" w:rsidP="00B93B99">
      <w:r>
        <w:t>Missing Data</w:t>
      </w:r>
    </w:p>
    <w:p w14:paraId="0B20DD84" w14:textId="378B419D" w:rsidR="00C175E6" w:rsidRDefault="00C175E6" w:rsidP="00B93B99">
      <w:r>
        <w:t>Multiyear Data</w:t>
      </w:r>
    </w:p>
    <w:p w14:paraId="746100F2" w14:textId="48454E84" w:rsidR="00C175E6" w:rsidRDefault="00C175E6" w:rsidP="00B93B99">
      <w:r>
        <w:t>Class Intervals</w:t>
      </w:r>
    </w:p>
    <w:p w14:paraId="25E1E895" w14:textId="16C7D61E" w:rsidR="00C175E6" w:rsidRDefault="00C175E6" w:rsidP="00B93B99">
      <w:r>
        <w:t>Subcounty Anal</w:t>
      </w:r>
      <w:r w:rsidR="00CA12AF">
        <w:t>ysis</w:t>
      </w:r>
      <w:bookmarkStart w:id="0" w:name="_GoBack"/>
      <w:bookmarkEnd w:id="0"/>
    </w:p>
    <w:p w14:paraId="6BF49B4B" w14:textId="0A7FDF01" w:rsidR="00942AAA" w:rsidRDefault="00942AAA">
      <w:r>
        <w:br w:type="page"/>
      </w:r>
    </w:p>
    <w:p w14:paraId="60EE53D3" w14:textId="77777777" w:rsidR="00942AAA" w:rsidRDefault="00942AAA" w:rsidP="00942AAA">
      <w:r>
        <w:lastRenderedPageBreak/>
        <w:t>Appendix: ICD-10-CM Transition</w:t>
      </w:r>
    </w:p>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245493A8" w:rsidR="00026EE2" w:rsidRDefault="00026EE2" w:rsidP="00026EE2">
      <w:pPr>
        <w:pStyle w:val="Standard"/>
        <w:pageBreakBefore/>
      </w:pPr>
      <w:r>
        <w:lastRenderedPageBreak/>
        <w:t>Appendix: Missing data</w:t>
      </w:r>
    </w:p>
    <w:p w14:paraId="548BD416" w14:textId="77777777" w:rsidR="00026EE2" w:rsidRDefault="00026EE2" w:rsidP="00026EE2">
      <w:pPr>
        <w:pStyle w:val="Standard"/>
      </w:pPr>
    </w:p>
    <w:p w14:paraId="13543765" w14:textId="77777777" w:rsidR="00026EE2" w:rsidRDefault="00026EE2" w:rsidP="00026EE2">
      <w:pPr>
        <w:pStyle w:val="Standard"/>
      </w:pPr>
      <w:r>
        <w:tab/>
        <w:t>Data may be missing for a number of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7C7F8452" w14:textId="77777777" w:rsidR="00026EE2" w:rsidRDefault="00026EE2" w:rsidP="00026EE2">
      <w:pPr>
        <w:pStyle w:val="Standard"/>
      </w:pPr>
      <w:r>
        <w:tab/>
        <w:t>One reason that data may be missing is that there are legitimately zero events.  For example, in the CDC Wonder dataset for drug overdose deaths, Loving County, TX does not appear.  Loving County is one of the smallest counties in the country, with 134 people.</w:t>
      </w:r>
    </w:p>
    <w:p w14:paraId="43042976" w14:textId="77777777" w:rsidR="00026EE2" w:rsidRDefault="00026EE2" w:rsidP="00026EE2">
      <w:pPr>
        <w:pStyle w:val="Standard"/>
      </w:pPr>
      <w:r>
        <w:tab/>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release guidelines.  For example, Utah has a comprehensive guide for data release which is similar to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77777777" w:rsidR="00026EE2" w:rsidRDefault="00026EE2" w:rsidP="00026EE2">
      <w:pPr>
        <w:pStyle w:val="Standard"/>
      </w:pPr>
      <w:r>
        <w:tab/>
        <w:t xml:space="preserve">The approach to take with missing data depends on what the data is to be used for.  For mapping, if an indicator is only available at the state level, then it may be useful to map, but would be useful for prioritizing outcomes among counties.  Examples of indicators which may not be available for all counties include: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77777777" w:rsidR="00026EE2" w:rsidRDefault="00026EE2" w:rsidP="00026EE2">
      <w:pPr>
        <w:pStyle w:val="Standard"/>
      </w:pPr>
      <w:r>
        <w:tab/>
        <w:t>Use a statewide rate</w:t>
      </w:r>
    </w:p>
    <w:p w14:paraId="59857562" w14:textId="77777777" w:rsidR="00026EE2" w:rsidRDefault="00026EE2" w:rsidP="00026EE2">
      <w:pPr>
        <w:pStyle w:val="Standard"/>
      </w:pPr>
      <w:r>
        <w:tab/>
        <w:t>Use a rate for counties of a similar geography (Northwest, Eastern, etc).</w:t>
      </w:r>
    </w:p>
    <w:p w14:paraId="6FF51A8C" w14:textId="77777777" w:rsidR="00026EE2" w:rsidRDefault="00026EE2" w:rsidP="00026EE2">
      <w:pPr>
        <w:pStyle w:val="Standard"/>
      </w:pPr>
      <w:r>
        <w:tab/>
        <w:t>Use a rate for counties of a similar characteristic (NCHS Urban / Rural Classification, etc.)</w:t>
      </w:r>
    </w:p>
    <w:p w14:paraId="290866EB" w14:textId="77777777" w:rsidR="00026EE2" w:rsidRDefault="00026EE2" w:rsidP="00026EE2">
      <w:pPr>
        <w:pStyle w:val="Standard"/>
      </w:pPr>
      <w:r>
        <w:tab/>
        <w:t>Aggregate counties based on geography (median of rates from surrounding counties)</w:t>
      </w:r>
    </w:p>
    <w:p w14:paraId="42611B2A" w14:textId="77777777" w:rsidR="00026EE2" w:rsidRDefault="00026EE2" w:rsidP="00026EE2">
      <w:pPr>
        <w:pStyle w:val="Standard"/>
      </w:pPr>
      <w:r>
        <w:tab/>
        <w:t xml:space="preserve">Aggregate counties based on characteristics (median of rates with NCHS Urban / Rural </w:t>
      </w:r>
      <w:r>
        <w:tab/>
        <w:t>Classification)</w:t>
      </w:r>
    </w:p>
    <w:p w14:paraId="225BF346" w14:textId="77777777" w:rsidR="00026EE2" w:rsidRDefault="00026EE2" w:rsidP="00026EE2">
      <w:pPr>
        <w:pStyle w:val="Standard"/>
      </w:pPr>
      <w:r>
        <w:lastRenderedPageBreak/>
        <w:tab/>
        <w:t>Multiple imputation methods</w:t>
      </w:r>
    </w:p>
    <w:p w14:paraId="3C90962D" w14:textId="77777777" w:rsidR="00026EE2" w:rsidRDefault="00026EE2" w:rsidP="00026EE2">
      <w:pPr>
        <w:pStyle w:val="Standard"/>
      </w:pPr>
      <w:r>
        <w:tab/>
        <w:t>Modeling techniques</w:t>
      </w:r>
    </w:p>
    <w:p w14:paraId="11DE1CB5" w14:textId="77777777" w:rsidR="00026EE2" w:rsidRDefault="00026EE2" w:rsidP="00026EE2">
      <w:pPr>
        <w:pStyle w:val="Standard"/>
      </w:pPr>
      <w:r>
        <w:tab/>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77777777" w:rsidR="00420C15" w:rsidRDefault="00420C15" w:rsidP="00420C15">
      <w:r>
        <w:lastRenderedPageBreak/>
        <w:t>Appendix: Multiyear Data</w:t>
      </w:r>
    </w:p>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For datasets used for stand alone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1E924D0" w:rsidR="00A81267" w:rsidRDefault="00A81267" w:rsidP="00942AAA">
      <w:r>
        <w:br w:type="page"/>
      </w:r>
    </w:p>
    <w:p w14:paraId="013DE55F" w14:textId="77777777" w:rsidR="004260F5" w:rsidRDefault="004260F5" w:rsidP="004260F5">
      <w:r>
        <w:lastRenderedPageBreak/>
        <w:t>Appendix: Class Intervals</w:t>
      </w:r>
    </w:p>
    <w:p w14:paraId="78FFE883" w14:textId="77777777" w:rsidR="004260F5" w:rsidRDefault="004260F5" w:rsidP="004260F5">
      <w:r>
        <w:tab/>
        <w:t>The two most common types of class intervals are the quantile method (usually four or five quantiles) and the Jenks Natural Breaks method.  Formal discussion of the various class interval methods is beyond the scope of this document, the R documentation gives a quick summary of how such are implemented in R.</w:t>
      </w:r>
      <w:r>
        <w:rPr>
          <w:rStyle w:val="FootnoteReference"/>
        </w:rPr>
        <w:footnoteReference w:id="8"/>
      </w:r>
      <w:r>
        <w:t xml:space="preserve">  For comparison, per capita income by county is plotted for all counties in the United States using quantile and Jenks methods.</w:t>
      </w:r>
      <w:r>
        <w:rPr>
          <w:rStyle w:val="FootnoteReference"/>
        </w:rPr>
        <w:footnoteReference w:id="9"/>
      </w:r>
    </w:p>
    <w:p w14:paraId="0C87EAEB" w14:textId="77777777" w:rsidR="004260F5" w:rsidRDefault="004260F5" w:rsidP="004260F5"/>
    <w:p w14:paraId="554C00A0" w14:textId="77777777" w:rsidR="004260F5" w:rsidRDefault="004260F5" w:rsidP="004260F5">
      <w:pPr>
        <w:jc w:val="center"/>
      </w:pPr>
      <w:r>
        <w:rPr>
          <w:noProof/>
        </w:rPr>
        <w:drawing>
          <wp:inline distT="0" distB="0" distL="0" distR="0" wp14:anchorId="54889533" wp14:editId="16D0A237">
            <wp:extent cx="5943600" cy="431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5943600" cy="4318000"/>
                    </a:xfrm>
                    <a:prstGeom prst="rect">
                      <a:avLst/>
                    </a:prstGeom>
                  </pic:spPr>
                </pic:pic>
              </a:graphicData>
            </a:graphic>
          </wp:inline>
        </w:drawing>
      </w:r>
    </w:p>
    <w:p w14:paraId="5FC0F05C" w14:textId="77777777" w:rsidR="004260F5" w:rsidRDefault="004260F5" w:rsidP="004260F5">
      <w:pPr>
        <w:jc w:val="center"/>
      </w:pPr>
      <w:r>
        <w:rPr>
          <w:noProof/>
        </w:rPr>
        <w:lastRenderedPageBreak/>
        <w:drawing>
          <wp:inline distT="0" distB="0" distL="0" distR="0" wp14:anchorId="5CEBE5E8" wp14:editId="60DFCB86">
            <wp:extent cx="5943600" cy="432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a:ext>
                      </a:extLst>
                    </a:blip>
                    <a:stretch>
                      <a:fillRect/>
                    </a:stretch>
                  </pic:blipFill>
                  <pic:spPr>
                    <a:xfrm>
                      <a:off x="0" y="0"/>
                      <a:ext cx="5943600" cy="4321810"/>
                    </a:xfrm>
                    <a:prstGeom prst="rect">
                      <a:avLst/>
                    </a:prstGeom>
                  </pic:spPr>
                </pic:pic>
              </a:graphicData>
            </a:graphic>
          </wp:inline>
        </w:drawing>
      </w:r>
    </w:p>
    <w:p w14:paraId="07D1EB64" w14:textId="77777777" w:rsidR="004260F5" w:rsidRDefault="004260F5" w:rsidP="004260F5">
      <w:r>
        <w:tab/>
        <w:t>The main thing to notice about the quantile method is that the highest class is $30,141 through $69,529, whereas the Jenks method creates a class with the highest class of $44,785 through $69,529.  The distribution of per capita income at the county level is right skewed, Jenks does a better job capturing such.  On the other hand, for symmetric data, quantile methods will give similar results, but are easier to explain.</w:t>
      </w:r>
    </w:p>
    <w:p w14:paraId="1B40195F" w14:textId="77777777" w:rsidR="004260F5" w:rsidRDefault="004260F5" w:rsidP="004260F5">
      <w:pPr>
        <w:jc w:val="center"/>
      </w:pPr>
      <w:r>
        <w:rPr>
          <w:noProof/>
        </w:rPr>
        <w:drawing>
          <wp:inline distT="0" distB="0" distL="0" distR="0" wp14:anchorId="048FB025" wp14:editId="17653477">
            <wp:extent cx="3142711" cy="21215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a:ext>
                      </a:extLst>
                    </a:blip>
                    <a:stretch>
                      <a:fillRect/>
                    </a:stretch>
                  </pic:blipFill>
                  <pic:spPr>
                    <a:xfrm>
                      <a:off x="0" y="0"/>
                      <a:ext cx="3154402" cy="2129427"/>
                    </a:xfrm>
                    <a:prstGeom prst="rect">
                      <a:avLst/>
                    </a:prstGeom>
                  </pic:spPr>
                </pic:pic>
              </a:graphicData>
            </a:graphic>
          </wp:inline>
        </w:drawing>
      </w:r>
    </w:p>
    <w:p w14:paraId="051A1447" w14:textId="77777777" w:rsidR="004260F5" w:rsidRDefault="004260F5" w:rsidP="004260F5">
      <w:pPr>
        <w:ind w:firstLine="720"/>
      </w:pPr>
      <w:r>
        <w:lastRenderedPageBreak/>
        <w:t xml:space="preserve">The downside of Jenks is that the category bins are difficult to explain, whereas quantiles are generally understood.  Another disadvantage is that the Jenks method can be influenced by outliers.  For a video discussion, see </w:t>
      </w:r>
      <w:r w:rsidRPr="000247AF">
        <w:t>https://youtu.be/Amxec9Lx-3Y</w:t>
      </w:r>
      <w:r>
        <w:t>.</w:t>
      </w:r>
    </w:p>
    <w:p w14:paraId="669AF2F1" w14:textId="18C572CC" w:rsidR="005167DC" w:rsidRDefault="005167DC">
      <w:r>
        <w:br w:type="page"/>
      </w:r>
    </w:p>
    <w:p w14:paraId="2E3848EC" w14:textId="77777777" w:rsidR="005167DC" w:rsidRDefault="005167DC" w:rsidP="005167DC">
      <w:r>
        <w:lastRenderedPageBreak/>
        <w:t>Appendix: Subcounty Analysis</w:t>
      </w:r>
    </w:p>
    <w:p w14:paraId="40524CD7" w14:textId="77777777" w:rsidR="005167DC" w:rsidRDefault="005167DC" w:rsidP="005167DC">
      <w:r>
        <w:tab/>
        <w:t>Most of the analysis that we do as part of this project is at the county level.  That’s because, for better or worse, most data sources are available at the county level (or county level equivalent).  Because counties form compete partitions of states and territories, they’re really handy for statistical purposes.  However, there are times where subcounty analysis is ideal.  For example, consider the map of Texas unemployment below.  Unemployment in Dallas County was 5.9%.  However, Dallas County has a lot of people.</w:t>
      </w:r>
    </w:p>
    <w:p w14:paraId="305ABC68" w14:textId="77777777" w:rsidR="005167DC" w:rsidRDefault="005167DC" w:rsidP="005167DC">
      <w:r>
        <w:rPr>
          <w:noProof/>
        </w:rPr>
        <w:drawing>
          <wp:inline distT="0" distB="0" distL="0" distR="0" wp14:anchorId="6D4AE25C" wp14:editId="6CDAD5AF">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t xml:space="preserve"> </w:t>
      </w:r>
    </w:p>
    <w:p w14:paraId="23FAB5A1" w14:textId="77777777" w:rsidR="005167DC" w:rsidRDefault="005167DC" w:rsidP="005167DC">
      <w:r>
        <w:tab/>
        <w:t>There are two main areas for subcounty analysis, zip code and census tract.  Zip code data is advantageous because it’s usually recorded as part of standard addresses; census tract data has American Community Survey variables (at five year intervals) with populations (usually) between 2500 and 8000 people.</w:t>
      </w:r>
      <w:r>
        <w:rPr>
          <w:rStyle w:val="FootnoteReference"/>
        </w:rPr>
        <w:footnoteReference w:id="10"/>
      </w:r>
      <w:r>
        <w:t xml:space="preserve">  HUD’s Office of Policy Development and Research has crosswalk files that convert zip codes, census tracts, and counties.</w:t>
      </w:r>
      <w:r>
        <w:rPr>
          <w:rStyle w:val="FootnoteReference"/>
        </w:rPr>
        <w:footnoteReference w:id="11"/>
      </w:r>
      <w:r>
        <w:t xml:space="preserve">  Be careful, because the conversions are not bidirectional!</w:t>
      </w:r>
    </w:p>
    <w:p w14:paraId="64169EC7" w14:textId="77777777" w:rsidR="005167DC" w:rsidRDefault="005167DC" w:rsidP="005167DC">
      <w:r>
        <w:tab/>
        <w:t>Census tract data often shows a much more complete picture.  In this case, literally, of unemployment in Dallas County.</w:t>
      </w:r>
    </w:p>
    <w:p w14:paraId="52D62876" w14:textId="77777777" w:rsidR="005167DC" w:rsidRDefault="005167DC" w:rsidP="005167DC">
      <w:r>
        <w:rPr>
          <w:noProof/>
        </w:rPr>
        <w:lastRenderedPageBreak/>
        <w:drawing>
          <wp:inline distT="0" distB="0" distL="0" distR="0" wp14:anchorId="22449AEE" wp14:editId="3CF855C8">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CDB0D7B" w14:textId="77777777" w:rsidR="005167DC" w:rsidRDefault="005167DC" w:rsidP="005167DC">
      <w:r>
        <w:tab/>
        <w:t>We see that some Census tracts, mostly south and west of the city center, have unemployment as high as 25%, while other tracts to the north and east of the city center have unemployment lower than 3.2%.  There’s a much wider range.</w:t>
      </w:r>
    </w:p>
    <w:p w14:paraId="7AA126FC" w14:textId="77777777" w:rsidR="005167DC" w:rsidRDefault="005167DC" w:rsidP="005167DC">
      <w:r>
        <w:tab/>
        <w:t>Here’s the same variable by Zip Code Tabulation Area, which is a US Census Bureau modified version of zip code.  Note that the map of Dallas is actually less detailed than the Census tract map.</w:t>
      </w:r>
      <w:r>
        <w:rPr>
          <w:noProof/>
        </w:rPr>
        <w:drawing>
          <wp:inline distT="0" distB="0" distL="0" distR="0" wp14:anchorId="1DFFB1C6" wp14:editId="7553C3C8">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136182C4" w14:textId="77777777" w:rsidR="005167DC" w:rsidRDefault="005167DC" w:rsidP="005167DC"/>
    <w:p w14:paraId="1EE25E5D" w14:textId="77777777" w:rsidR="005167DC" w:rsidRDefault="005167DC" w:rsidP="005167DC">
      <w:r>
        <w:lastRenderedPageBreak/>
        <w:tab/>
        <w:t>Using the Dallas County example, there are benefits to subcounty analysis, particularly when working with local partners.  Nonetheless, getting subcounty data is often challenging.  American Community Survey data (mostly demographic) is generally available at Census tract and ZCTA level; crime data is usually available at the county level due to the role of sheriffs in the American justice system; prescription data may be available at the county or zip code level depending on the source.  Geocoding point data will be addressed in a later document.</w:t>
      </w:r>
    </w:p>
    <w:p w14:paraId="69D1BC78" w14:textId="77777777" w:rsidR="00E61F9E" w:rsidRDefault="00E61F9E"/>
    <w:sectPr w:rsidR="00E61F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0BC69" w14:textId="77777777" w:rsidR="00AE491F" w:rsidRDefault="00AE491F" w:rsidP="00942AAA">
      <w:pPr>
        <w:spacing w:after="0" w:line="240" w:lineRule="auto"/>
      </w:pPr>
      <w:r>
        <w:separator/>
      </w:r>
    </w:p>
  </w:endnote>
  <w:endnote w:type="continuationSeparator" w:id="0">
    <w:p w14:paraId="0E193C62" w14:textId="77777777" w:rsidR="00AE491F" w:rsidRDefault="00AE491F"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22BF9" w14:textId="77777777" w:rsidR="00AE491F" w:rsidRDefault="00AE491F" w:rsidP="00942AAA">
      <w:pPr>
        <w:spacing w:after="0" w:line="240" w:lineRule="auto"/>
      </w:pPr>
      <w:r>
        <w:separator/>
      </w:r>
    </w:p>
  </w:footnote>
  <w:footnote w:type="continuationSeparator" w:id="0">
    <w:p w14:paraId="63CF45C6" w14:textId="77777777" w:rsidR="00AE491F" w:rsidRDefault="00AE491F"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 w:id="8">
    <w:p w14:paraId="209A757A" w14:textId="77777777" w:rsidR="004260F5" w:rsidRDefault="004260F5" w:rsidP="004260F5">
      <w:pPr>
        <w:pStyle w:val="FootnoteText"/>
      </w:pPr>
      <w:r>
        <w:rPr>
          <w:rStyle w:val="FootnoteReference"/>
        </w:rPr>
        <w:footnoteRef/>
      </w:r>
      <w:r>
        <w:t xml:space="preserve"> </w:t>
      </w:r>
      <w:hyperlink r:id="rId8" w:history="1">
        <w:r>
          <w:rPr>
            <w:rStyle w:val="Hyperlink"/>
          </w:rPr>
          <w:t>https://www.rdocumentation.org/packages/classInt/versions/0.3-1/topics/classIntervals</w:t>
        </w:r>
      </w:hyperlink>
    </w:p>
  </w:footnote>
  <w:footnote w:id="9">
    <w:p w14:paraId="60997E4B" w14:textId="77777777" w:rsidR="004260F5" w:rsidRDefault="004260F5" w:rsidP="004260F5">
      <w:pPr>
        <w:pStyle w:val="FootnoteText"/>
      </w:pPr>
      <w:r>
        <w:rPr>
          <w:rStyle w:val="FootnoteReference"/>
        </w:rPr>
        <w:footnoteRef/>
      </w:r>
      <w:r>
        <w:t xml:space="preserve"> </w:t>
      </w:r>
      <w:hyperlink r:id="rId9" w:history="1">
        <w:r>
          <w:rPr>
            <w:rStyle w:val="Hyperlink"/>
          </w:rPr>
          <w:t>https://rud.is/b/2014/11/16/moving-the-earth-well-alaska-hawaii-with-r/</w:t>
        </w:r>
      </w:hyperlink>
    </w:p>
  </w:footnote>
  <w:footnote w:id="10">
    <w:p w14:paraId="298ABB1B" w14:textId="77777777" w:rsidR="005167DC" w:rsidRDefault="005167DC" w:rsidP="005167DC">
      <w:pPr>
        <w:pStyle w:val="FootnoteText"/>
      </w:pPr>
      <w:r>
        <w:rPr>
          <w:rStyle w:val="FootnoteReference"/>
        </w:rPr>
        <w:footnoteRef/>
      </w:r>
      <w:r>
        <w:t xml:space="preserve"> </w:t>
      </w:r>
      <w:hyperlink r:id="rId10" w:history="1">
        <w:r>
          <w:rPr>
            <w:rStyle w:val="Hyperlink"/>
          </w:rPr>
          <w:t>https://libguides.lib.msu.edu/tracts</w:t>
        </w:r>
      </w:hyperlink>
    </w:p>
  </w:footnote>
  <w:footnote w:id="11">
    <w:p w14:paraId="4A38C091" w14:textId="77777777" w:rsidR="005167DC" w:rsidRDefault="005167DC" w:rsidP="005167DC">
      <w:pPr>
        <w:pStyle w:val="FootnoteText"/>
      </w:pPr>
      <w:r>
        <w:rPr>
          <w:rStyle w:val="FootnoteReference"/>
        </w:rPr>
        <w:footnoteRef/>
      </w:r>
      <w:r>
        <w:t xml:space="preserve"> </w:t>
      </w:r>
      <w:hyperlink r:id="rId11" w:history="1">
        <w:r>
          <w:rPr>
            <w:rStyle w:val="Hyperlink"/>
          </w:rPr>
          <w:t>https://www.huduser.gov/portal/datasets/usps_crosswalk.html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34"/>
    <w:rsid w:val="00026EE2"/>
    <w:rsid w:val="00420C15"/>
    <w:rsid w:val="004260F5"/>
    <w:rsid w:val="004416C8"/>
    <w:rsid w:val="004932ED"/>
    <w:rsid w:val="005167DC"/>
    <w:rsid w:val="008736DE"/>
    <w:rsid w:val="00942AAA"/>
    <w:rsid w:val="00A81267"/>
    <w:rsid w:val="00AE491F"/>
    <w:rsid w:val="00B93B99"/>
    <w:rsid w:val="00C0294B"/>
    <w:rsid w:val="00C175E6"/>
    <w:rsid w:val="00CA12AF"/>
    <w:rsid w:val="00D11B76"/>
    <w:rsid w:val="00D16EFF"/>
    <w:rsid w:val="00E61F9E"/>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semiHidden/>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 w:type="paragraph" w:styleId="BalloonText">
    <w:name w:val="Balloon Text"/>
    <w:basedOn w:val="Normal"/>
    <w:link w:val="BalloonTextChar"/>
    <w:uiPriority w:val="99"/>
    <w:semiHidden/>
    <w:unhideWhenUsed/>
    <w:rsid w:val="00A81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2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rdocumentation.org/packages/classInt/versions/0.3-1/topics/classIntervals" TargetMode="External"/><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11" Type="http://schemas.openxmlformats.org/officeDocument/2006/relationships/hyperlink" Target="https://www.huduser.gov/portal/datasets/usps_crosswalk.html" TargetMode="External"/><Relationship Id="rId5" Type="http://schemas.openxmlformats.org/officeDocument/2006/relationships/hyperlink" Target="https://ibis.health.utah.gov/pdf/resource/DataSuppressionSummary.pdf" TargetMode="External"/><Relationship Id="rId10" Type="http://schemas.openxmlformats.org/officeDocument/2006/relationships/hyperlink" Target="https://libguides.lib.msu.edu/tracts" TargetMode="External"/><Relationship Id="rId4" Type="http://schemas.openxmlformats.org/officeDocument/2006/relationships/hyperlink" Target="http://www.stat.columbia.edu/~gelman/research/published/allmaps.pdf" TargetMode="External"/><Relationship Id="rId9" Type="http://schemas.openxmlformats.org/officeDocument/2006/relationships/hyperlink" Target="https://rud.is/b/2014/11/16/moving-the-earth-well-alaska-hawaii-wi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6E393-7F17-4357-B52F-7E0637C14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4</cp:revision>
  <dcterms:created xsi:type="dcterms:W3CDTF">2019-05-07T03:32:00Z</dcterms:created>
  <dcterms:modified xsi:type="dcterms:W3CDTF">2019-05-07T03:33:00Z</dcterms:modified>
</cp:coreProperties>
</file>