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05C5" w:rsidRDefault="001505C5" w:rsidP="001505C5">
      <w:pPr>
        <w:jc w:val="center"/>
        <w:rPr>
          <w:b/>
        </w:rPr>
      </w:pPr>
      <w:r>
        <w:rPr>
          <w:b/>
          <w:sz w:val="24"/>
          <w:szCs w:val="24"/>
        </w:rPr>
        <w:t>2014 Annual Conference Evaluation</w:t>
      </w:r>
    </w:p>
    <w:p w:rsidR="001505C5" w:rsidRPr="00985369" w:rsidRDefault="001505C5" w:rsidP="001505C5">
      <w:pPr>
        <w:spacing w:after="0"/>
        <w:jc w:val="center"/>
        <w:rPr>
          <w:i/>
        </w:rPr>
      </w:pPr>
      <w:r>
        <w:rPr>
          <w:i/>
        </w:rPr>
        <w:t>June 2014</w:t>
      </w:r>
      <w:r>
        <w:rPr>
          <w:i/>
        </w:rPr>
        <w:tab/>
        <w:t>-</w:t>
      </w:r>
      <w:r>
        <w:rPr>
          <w:i/>
        </w:rPr>
        <w:tab/>
        <w:t>Nashville, TN</w:t>
      </w:r>
    </w:p>
    <w:p w:rsidR="001505C5" w:rsidRDefault="001505C5" w:rsidP="001505C5">
      <w:pPr>
        <w:spacing w:before="240"/>
        <w:jc w:val="center"/>
        <w:rPr>
          <w:b/>
        </w:rPr>
      </w:pPr>
      <w:r>
        <w:rPr>
          <w:b/>
        </w:rPr>
        <w:t>Executive Summary</w:t>
      </w:r>
    </w:p>
    <w:p w:rsidR="001505C5" w:rsidRPr="00645800" w:rsidRDefault="001505C5" w:rsidP="001505C5">
      <w:pPr>
        <w:spacing w:before="120" w:line="240" w:lineRule="auto"/>
        <w:rPr>
          <w:sz w:val="20"/>
          <w:szCs w:val="20"/>
        </w:rPr>
      </w:pPr>
      <w:r w:rsidRPr="00645800">
        <w:rPr>
          <w:sz w:val="20"/>
          <w:szCs w:val="20"/>
        </w:rPr>
        <w:t>The 2014 CSTE Annual Conference was held in Nashville, TN June 22 through 26.  Below is a brief synopsis of the key outcomes of the conference evaluation.  In general, the participants indicated that the conference was a useful conference and more than met their expectations for quality of presentations and opportunities to network with colleagues.</w:t>
      </w:r>
    </w:p>
    <w:p w:rsidR="001505C5" w:rsidRPr="00B95EFE" w:rsidRDefault="001505C5" w:rsidP="001505C5">
      <w:pPr>
        <w:pStyle w:val="ListParagraph"/>
        <w:numPr>
          <w:ilvl w:val="0"/>
          <w:numId w:val="1"/>
        </w:numPr>
        <w:spacing w:before="120" w:line="240" w:lineRule="auto"/>
        <w:rPr>
          <w:sz w:val="20"/>
          <w:szCs w:val="20"/>
        </w:rPr>
      </w:pPr>
      <w:r w:rsidRPr="00B95EFE">
        <w:rPr>
          <w:sz w:val="20"/>
          <w:szCs w:val="20"/>
        </w:rPr>
        <w:t>1,123 registrations, with only 16 cancellations</w:t>
      </w:r>
    </w:p>
    <w:p w:rsidR="001505C5" w:rsidRDefault="001505C5" w:rsidP="001505C5">
      <w:pPr>
        <w:pStyle w:val="ListParagraph"/>
        <w:numPr>
          <w:ilvl w:val="1"/>
          <w:numId w:val="1"/>
        </w:numPr>
        <w:spacing w:before="120" w:line="240" w:lineRule="auto"/>
        <w:rPr>
          <w:sz w:val="20"/>
          <w:szCs w:val="20"/>
        </w:rPr>
      </w:pPr>
      <w:r>
        <w:rPr>
          <w:sz w:val="20"/>
          <w:szCs w:val="20"/>
        </w:rPr>
        <w:t>Member registrations (386 registrations)</w:t>
      </w:r>
    </w:p>
    <w:p w:rsidR="001505C5" w:rsidRDefault="001505C5" w:rsidP="001505C5">
      <w:pPr>
        <w:pStyle w:val="ListParagraph"/>
        <w:numPr>
          <w:ilvl w:val="2"/>
          <w:numId w:val="1"/>
        </w:numPr>
        <w:spacing w:before="120" w:line="240" w:lineRule="auto"/>
        <w:rPr>
          <w:sz w:val="20"/>
          <w:szCs w:val="20"/>
        </w:rPr>
      </w:pPr>
      <w:r w:rsidRPr="00B95EFE">
        <w:rPr>
          <w:sz w:val="20"/>
          <w:szCs w:val="20"/>
        </w:rPr>
        <w:t>350 member full conference registrations</w:t>
      </w:r>
    </w:p>
    <w:p w:rsidR="001505C5" w:rsidRPr="00B95EFE" w:rsidRDefault="001505C5" w:rsidP="001505C5">
      <w:pPr>
        <w:pStyle w:val="ListParagraph"/>
        <w:numPr>
          <w:ilvl w:val="2"/>
          <w:numId w:val="1"/>
        </w:numPr>
        <w:spacing w:before="120" w:line="240" w:lineRule="auto"/>
        <w:rPr>
          <w:sz w:val="20"/>
          <w:szCs w:val="20"/>
        </w:rPr>
      </w:pPr>
      <w:r>
        <w:rPr>
          <w:sz w:val="20"/>
          <w:szCs w:val="20"/>
        </w:rPr>
        <w:t>36 partial registrations</w:t>
      </w:r>
    </w:p>
    <w:p w:rsidR="001505C5" w:rsidRDefault="001505C5" w:rsidP="001505C5">
      <w:pPr>
        <w:pStyle w:val="ListParagraph"/>
        <w:numPr>
          <w:ilvl w:val="1"/>
          <w:numId w:val="1"/>
        </w:numPr>
        <w:spacing w:before="120" w:line="240" w:lineRule="auto"/>
        <w:rPr>
          <w:sz w:val="20"/>
          <w:szCs w:val="20"/>
        </w:rPr>
      </w:pPr>
      <w:r>
        <w:rPr>
          <w:sz w:val="20"/>
          <w:szCs w:val="20"/>
        </w:rPr>
        <w:t>Non-member registrations (365 total non-member registrations)</w:t>
      </w:r>
    </w:p>
    <w:p w:rsidR="001505C5" w:rsidRDefault="001505C5" w:rsidP="001505C5">
      <w:pPr>
        <w:pStyle w:val="ListParagraph"/>
        <w:numPr>
          <w:ilvl w:val="2"/>
          <w:numId w:val="1"/>
        </w:numPr>
        <w:spacing w:before="120" w:line="240" w:lineRule="auto"/>
        <w:rPr>
          <w:sz w:val="20"/>
          <w:szCs w:val="20"/>
        </w:rPr>
      </w:pPr>
      <w:r w:rsidRPr="00B95EFE">
        <w:rPr>
          <w:sz w:val="20"/>
          <w:szCs w:val="20"/>
        </w:rPr>
        <w:t>321 non-member full conference registrations.</w:t>
      </w:r>
    </w:p>
    <w:p w:rsidR="001505C5" w:rsidRPr="00043D2D" w:rsidRDefault="001505C5" w:rsidP="001505C5">
      <w:pPr>
        <w:pStyle w:val="ListParagraph"/>
        <w:numPr>
          <w:ilvl w:val="2"/>
          <w:numId w:val="1"/>
        </w:numPr>
        <w:spacing w:before="120" w:line="240" w:lineRule="auto"/>
        <w:rPr>
          <w:sz w:val="20"/>
          <w:szCs w:val="20"/>
        </w:rPr>
      </w:pPr>
      <w:r>
        <w:rPr>
          <w:sz w:val="20"/>
          <w:szCs w:val="20"/>
        </w:rPr>
        <w:t>44 non-member partial registrations</w:t>
      </w:r>
    </w:p>
    <w:p w:rsidR="001505C5" w:rsidRPr="00B95EFE" w:rsidRDefault="001505C5" w:rsidP="001505C5">
      <w:pPr>
        <w:pStyle w:val="ListParagraph"/>
        <w:numPr>
          <w:ilvl w:val="0"/>
          <w:numId w:val="1"/>
        </w:numPr>
        <w:spacing w:before="120" w:line="240" w:lineRule="auto"/>
        <w:rPr>
          <w:sz w:val="20"/>
          <w:szCs w:val="20"/>
        </w:rPr>
      </w:pPr>
      <w:r w:rsidRPr="00B95EFE">
        <w:rPr>
          <w:sz w:val="20"/>
          <w:szCs w:val="20"/>
        </w:rPr>
        <w:t xml:space="preserve">1,082 registrations for 15 pre-conference sessions </w:t>
      </w:r>
    </w:p>
    <w:p w:rsidR="001505C5" w:rsidRPr="00E579D2" w:rsidRDefault="001505C5" w:rsidP="001505C5">
      <w:pPr>
        <w:spacing w:before="120" w:after="0" w:line="240" w:lineRule="auto"/>
        <w:ind w:firstLine="360"/>
        <w:rPr>
          <w:b/>
          <w:sz w:val="20"/>
          <w:szCs w:val="20"/>
          <w:u w:val="single"/>
        </w:rPr>
      </w:pPr>
      <w:r w:rsidRPr="00E579D2">
        <w:rPr>
          <w:b/>
          <w:sz w:val="20"/>
          <w:szCs w:val="20"/>
          <w:u w:val="single"/>
        </w:rPr>
        <w:t>Participant characteristics</w:t>
      </w:r>
    </w:p>
    <w:p w:rsidR="001505C5" w:rsidRPr="00E579D2" w:rsidRDefault="001505C5" w:rsidP="001505C5">
      <w:pPr>
        <w:pStyle w:val="ListParagraph"/>
        <w:numPr>
          <w:ilvl w:val="0"/>
          <w:numId w:val="2"/>
        </w:numPr>
        <w:spacing w:line="240" w:lineRule="auto"/>
        <w:ind w:left="720"/>
        <w:rPr>
          <w:sz w:val="20"/>
          <w:szCs w:val="20"/>
        </w:rPr>
      </w:pPr>
      <w:r w:rsidRPr="00E579D2">
        <w:rPr>
          <w:sz w:val="20"/>
          <w:szCs w:val="20"/>
        </w:rPr>
        <w:t>Over a third of the attendants (36%) were not CSTE members.</w:t>
      </w:r>
    </w:p>
    <w:p w:rsidR="001505C5" w:rsidRPr="00E579D2" w:rsidRDefault="001505C5" w:rsidP="001505C5">
      <w:pPr>
        <w:pStyle w:val="ListParagraph"/>
        <w:numPr>
          <w:ilvl w:val="0"/>
          <w:numId w:val="2"/>
        </w:numPr>
        <w:spacing w:before="120" w:line="240" w:lineRule="auto"/>
        <w:ind w:left="720"/>
        <w:rPr>
          <w:sz w:val="20"/>
          <w:szCs w:val="20"/>
        </w:rPr>
      </w:pPr>
      <w:r w:rsidRPr="00E579D2">
        <w:rPr>
          <w:sz w:val="20"/>
          <w:szCs w:val="20"/>
        </w:rPr>
        <w:t>Almost half (43%) of the attendants had attended 2 to 5 CSTE conferences.</w:t>
      </w:r>
    </w:p>
    <w:p w:rsidR="001505C5" w:rsidRPr="00E579D2" w:rsidRDefault="001505C5" w:rsidP="001505C5">
      <w:pPr>
        <w:pStyle w:val="ListParagraph"/>
        <w:numPr>
          <w:ilvl w:val="0"/>
          <w:numId w:val="2"/>
        </w:numPr>
        <w:spacing w:before="120" w:line="240" w:lineRule="auto"/>
        <w:ind w:left="720"/>
        <w:rPr>
          <w:sz w:val="20"/>
          <w:szCs w:val="20"/>
        </w:rPr>
      </w:pPr>
      <w:r w:rsidRPr="00E579D2">
        <w:rPr>
          <w:sz w:val="20"/>
          <w:szCs w:val="20"/>
        </w:rPr>
        <w:t>Over half (59%) reported working at a state public health agency.</w:t>
      </w:r>
    </w:p>
    <w:p w:rsidR="001505C5" w:rsidRPr="00E579D2" w:rsidRDefault="001505C5" w:rsidP="001505C5">
      <w:pPr>
        <w:pStyle w:val="ListParagraph"/>
        <w:numPr>
          <w:ilvl w:val="0"/>
          <w:numId w:val="2"/>
        </w:numPr>
        <w:spacing w:before="120" w:line="240" w:lineRule="auto"/>
        <w:ind w:left="720"/>
        <w:rPr>
          <w:sz w:val="20"/>
          <w:szCs w:val="20"/>
        </w:rPr>
      </w:pPr>
      <w:r w:rsidRPr="00E579D2">
        <w:rPr>
          <w:sz w:val="20"/>
          <w:szCs w:val="20"/>
        </w:rPr>
        <w:t>Over half (60%) work in infectious disease health.</w:t>
      </w:r>
    </w:p>
    <w:p w:rsidR="001505C5" w:rsidRDefault="001505C5" w:rsidP="001505C5">
      <w:pPr>
        <w:spacing w:after="0" w:line="240" w:lineRule="auto"/>
        <w:ind w:left="360"/>
        <w:rPr>
          <w:b/>
          <w:sz w:val="20"/>
          <w:szCs w:val="20"/>
          <w:u w:val="single"/>
        </w:rPr>
      </w:pPr>
      <w:r w:rsidRPr="000B77B2">
        <w:rPr>
          <w:b/>
          <w:sz w:val="20"/>
          <w:szCs w:val="20"/>
          <w:u w:val="single"/>
        </w:rPr>
        <w:t>Highlights</w:t>
      </w:r>
    </w:p>
    <w:p w:rsidR="001505C5" w:rsidRPr="00043D2D" w:rsidRDefault="001505C5" w:rsidP="001505C5">
      <w:pPr>
        <w:pStyle w:val="ListParagraph"/>
        <w:numPr>
          <w:ilvl w:val="0"/>
          <w:numId w:val="4"/>
        </w:numPr>
        <w:spacing w:after="0" w:line="240" w:lineRule="auto"/>
        <w:rPr>
          <w:sz w:val="20"/>
          <w:szCs w:val="20"/>
        </w:rPr>
      </w:pPr>
      <w:r w:rsidRPr="00043D2D">
        <w:rPr>
          <w:sz w:val="20"/>
          <w:szCs w:val="20"/>
        </w:rPr>
        <w:t>On the registration form participants were asked if they had an accepted abstract to the conference.  There were 1,080 participants who responded to this question, 437 (39%) had an accepted abstract and 116 (10%) did not know the status of the abstract.</w:t>
      </w:r>
    </w:p>
    <w:p w:rsidR="001505C5" w:rsidRPr="00043D2D" w:rsidRDefault="001505C5" w:rsidP="001505C5">
      <w:pPr>
        <w:pStyle w:val="ListParagraph"/>
        <w:numPr>
          <w:ilvl w:val="0"/>
          <w:numId w:val="4"/>
        </w:numPr>
        <w:spacing w:after="0" w:line="240" w:lineRule="auto"/>
        <w:rPr>
          <w:sz w:val="20"/>
          <w:szCs w:val="20"/>
        </w:rPr>
      </w:pPr>
      <w:r w:rsidRPr="00043D2D">
        <w:rPr>
          <w:sz w:val="20"/>
          <w:szCs w:val="20"/>
        </w:rPr>
        <w:t>For those who had an accepted abstract (436), 257 (59%) indicated that an accepted abstract was required for travel approval.</w:t>
      </w:r>
    </w:p>
    <w:p w:rsidR="001505C5" w:rsidRDefault="001505C5" w:rsidP="001505C5">
      <w:pPr>
        <w:spacing w:after="0" w:line="240" w:lineRule="auto"/>
        <w:ind w:left="360"/>
        <w:rPr>
          <w:b/>
          <w:sz w:val="20"/>
          <w:szCs w:val="20"/>
          <w:u w:val="single"/>
        </w:rPr>
      </w:pPr>
    </w:p>
    <w:p w:rsidR="001505C5" w:rsidRPr="00831AB1" w:rsidRDefault="001505C5" w:rsidP="001505C5">
      <w:pPr>
        <w:spacing w:after="0" w:line="240" w:lineRule="auto"/>
        <w:ind w:left="360"/>
        <w:rPr>
          <w:b/>
          <w:sz w:val="20"/>
          <w:szCs w:val="20"/>
          <w:u w:val="single"/>
        </w:rPr>
      </w:pPr>
    </w:p>
    <w:tbl>
      <w:tblPr>
        <w:tblStyle w:val="MediumShading1-Accent1"/>
        <w:tblW w:w="0" w:type="auto"/>
        <w:jc w:val="center"/>
        <w:tblInd w:w="-1627" w:type="dxa"/>
        <w:tblLook w:val="04A0" w:firstRow="1" w:lastRow="0" w:firstColumn="1" w:lastColumn="0" w:noHBand="0" w:noVBand="1"/>
      </w:tblPr>
      <w:tblGrid>
        <w:gridCol w:w="6066"/>
        <w:gridCol w:w="2140"/>
        <w:gridCol w:w="1479"/>
        <w:gridCol w:w="1139"/>
        <w:gridCol w:w="22"/>
      </w:tblGrid>
      <w:tr w:rsidR="001505C5" w:rsidRPr="00C83B71" w:rsidTr="00DD3F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846" w:type="dxa"/>
            <w:gridSpan w:val="5"/>
            <w:shd w:val="clear" w:color="auto" w:fill="D9D9D9" w:themeFill="background1" w:themeFillShade="D9"/>
          </w:tcPr>
          <w:p w:rsidR="001505C5" w:rsidRPr="00C83B71" w:rsidRDefault="001505C5" w:rsidP="00DD3FF9">
            <w:pPr>
              <w:jc w:val="center"/>
              <w:rPr>
                <w:color w:val="000000" w:themeColor="text1"/>
                <w:sz w:val="20"/>
                <w:szCs w:val="20"/>
              </w:rPr>
            </w:pPr>
            <w:r w:rsidRPr="00C83B71">
              <w:rPr>
                <w:color w:val="000000" w:themeColor="text1"/>
                <w:sz w:val="20"/>
                <w:szCs w:val="20"/>
              </w:rPr>
              <w:t>Overall Conference Evaluation (N=</w:t>
            </w:r>
            <w:r>
              <w:rPr>
                <w:color w:val="000000" w:themeColor="text1"/>
                <w:sz w:val="20"/>
                <w:szCs w:val="20"/>
              </w:rPr>
              <w:t>339</w:t>
            </w:r>
            <w:r w:rsidRPr="00C83B71">
              <w:rPr>
                <w:color w:val="000000" w:themeColor="text1"/>
                <w:sz w:val="20"/>
                <w:szCs w:val="20"/>
              </w:rPr>
              <w:t>)</w:t>
            </w:r>
          </w:p>
        </w:tc>
      </w:tr>
      <w:tr w:rsidR="001505C5" w:rsidRPr="00513130" w:rsidTr="00DD3FF9">
        <w:trPr>
          <w:gridAfter w:val="1"/>
          <w:cnfStyle w:val="000000100000" w:firstRow="0" w:lastRow="0" w:firstColumn="0" w:lastColumn="0" w:oddVBand="0" w:evenVBand="0" w:oddHBand="1" w:evenHBand="0" w:firstRowFirstColumn="0" w:firstRowLastColumn="0" w:lastRowFirstColumn="0" w:lastRowLastColumn="0"/>
          <w:wAfter w:w="22" w:type="dxa"/>
          <w:jc w:val="center"/>
        </w:trPr>
        <w:tc>
          <w:tcPr>
            <w:cnfStyle w:val="001000000000" w:firstRow="0" w:lastRow="0" w:firstColumn="1" w:lastColumn="0" w:oddVBand="0" w:evenVBand="0" w:oddHBand="0" w:evenHBand="0" w:firstRowFirstColumn="0" w:firstRowLastColumn="0" w:lastRowFirstColumn="0" w:lastRowLastColumn="0"/>
            <w:tcW w:w="6066" w:type="dxa"/>
            <w:tcBorders>
              <w:right w:val="single" w:sz="8" w:space="0" w:color="7BA0CD" w:themeColor="accent1" w:themeTint="BF"/>
            </w:tcBorders>
          </w:tcPr>
          <w:p w:rsidR="001505C5" w:rsidRPr="00513130" w:rsidRDefault="001505C5" w:rsidP="00DD3FF9">
            <w:pPr>
              <w:rPr>
                <w:sz w:val="20"/>
                <w:szCs w:val="20"/>
              </w:rPr>
            </w:pPr>
          </w:p>
        </w:tc>
        <w:tc>
          <w:tcPr>
            <w:tcW w:w="2140" w:type="dxa"/>
            <w:tcBorders>
              <w:left w:val="single" w:sz="8" w:space="0" w:color="7BA0CD" w:themeColor="accent1" w:themeTint="BF"/>
            </w:tcBorders>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Strongly Disagree/</w:t>
            </w:r>
            <w:r w:rsidRPr="00513130">
              <w:rPr>
                <w:b/>
                <w:sz w:val="20"/>
                <w:szCs w:val="20"/>
              </w:rPr>
              <w:t>Disagree</w:t>
            </w:r>
          </w:p>
        </w:tc>
        <w:tc>
          <w:tcPr>
            <w:tcW w:w="1479" w:type="dxa"/>
            <w:tcBorders>
              <w:left w:val="single" w:sz="8" w:space="0" w:color="7BA0CD" w:themeColor="accent1" w:themeTint="BF"/>
              <w:right w:val="single" w:sz="8" w:space="0" w:color="7BA0CD" w:themeColor="accent1" w:themeTint="BF"/>
            </w:tcBorders>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13130">
              <w:rPr>
                <w:b/>
                <w:sz w:val="20"/>
                <w:szCs w:val="20"/>
              </w:rPr>
              <w:t>Agree</w:t>
            </w:r>
            <w:r>
              <w:rPr>
                <w:b/>
                <w:sz w:val="20"/>
                <w:szCs w:val="20"/>
              </w:rPr>
              <w:t>/Strongly Agree</w:t>
            </w:r>
          </w:p>
        </w:tc>
        <w:tc>
          <w:tcPr>
            <w:tcW w:w="1139" w:type="dxa"/>
            <w:tcBorders>
              <w:left w:val="single" w:sz="8" w:space="0" w:color="7BA0CD" w:themeColor="accent1" w:themeTint="BF"/>
            </w:tcBorders>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13130">
              <w:rPr>
                <w:b/>
                <w:sz w:val="20"/>
                <w:szCs w:val="20"/>
              </w:rPr>
              <w:t>N/A</w:t>
            </w:r>
          </w:p>
        </w:tc>
      </w:tr>
      <w:tr w:rsidR="001505C5" w:rsidRPr="00513130" w:rsidTr="00DD3FF9">
        <w:trPr>
          <w:gridAfter w:val="1"/>
          <w:cnfStyle w:val="000000010000" w:firstRow="0" w:lastRow="0" w:firstColumn="0" w:lastColumn="0" w:oddVBand="0" w:evenVBand="0" w:oddHBand="0" w:evenHBand="1" w:firstRowFirstColumn="0" w:firstRowLastColumn="0" w:lastRowFirstColumn="0" w:lastRowLastColumn="0"/>
          <w:wAfter w:w="22" w:type="dxa"/>
          <w:jc w:val="center"/>
        </w:trPr>
        <w:tc>
          <w:tcPr>
            <w:cnfStyle w:val="001000000000" w:firstRow="0" w:lastRow="0" w:firstColumn="1" w:lastColumn="0" w:oddVBand="0" w:evenVBand="0" w:oddHBand="0" w:evenHBand="0" w:firstRowFirstColumn="0" w:firstRowLastColumn="0" w:lastRowFirstColumn="0" w:lastRowLastColumn="0"/>
            <w:tcW w:w="6066" w:type="dxa"/>
            <w:tcBorders>
              <w:right w:val="single" w:sz="8" w:space="0" w:color="7BA0CD" w:themeColor="accent1" w:themeTint="BF"/>
            </w:tcBorders>
          </w:tcPr>
          <w:p w:rsidR="001505C5" w:rsidRPr="00513130" w:rsidRDefault="001505C5" w:rsidP="00DD3FF9">
            <w:pPr>
              <w:rPr>
                <w:sz w:val="20"/>
                <w:szCs w:val="20"/>
              </w:rPr>
            </w:pPr>
            <w:r>
              <w:rPr>
                <w:sz w:val="20"/>
                <w:szCs w:val="20"/>
              </w:rPr>
              <w:t>The onsite registration process was well organized.</w:t>
            </w:r>
          </w:p>
        </w:tc>
        <w:tc>
          <w:tcPr>
            <w:tcW w:w="2140"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14 (4%)</w:t>
            </w:r>
          </w:p>
        </w:tc>
        <w:tc>
          <w:tcPr>
            <w:tcW w:w="1479" w:type="dxa"/>
            <w:tcBorders>
              <w:left w:val="single" w:sz="8" w:space="0" w:color="7BA0CD" w:themeColor="accent1" w:themeTint="BF"/>
              <w:right w:val="single" w:sz="8" w:space="0" w:color="7BA0CD" w:themeColor="accent1" w:themeTint="BF"/>
            </w:tcBorders>
            <w:vAlign w:val="center"/>
          </w:tcPr>
          <w:p w:rsidR="001505C5" w:rsidRPr="00BD528A"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278 (82%)</w:t>
            </w:r>
          </w:p>
        </w:tc>
        <w:tc>
          <w:tcPr>
            <w:tcW w:w="1139"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47 (14%)</w:t>
            </w:r>
          </w:p>
        </w:tc>
      </w:tr>
      <w:tr w:rsidR="001505C5" w:rsidRPr="00513130" w:rsidTr="00DD3FF9">
        <w:trPr>
          <w:gridAfter w:val="1"/>
          <w:cnfStyle w:val="000000100000" w:firstRow="0" w:lastRow="0" w:firstColumn="0" w:lastColumn="0" w:oddVBand="0" w:evenVBand="0" w:oddHBand="1" w:evenHBand="0" w:firstRowFirstColumn="0" w:firstRowLastColumn="0" w:lastRowFirstColumn="0" w:lastRowLastColumn="0"/>
          <w:wAfter w:w="22" w:type="dxa"/>
          <w:jc w:val="center"/>
        </w:trPr>
        <w:tc>
          <w:tcPr>
            <w:cnfStyle w:val="001000000000" w:firstRow="0" w:lastRow="0" w:firstColumn="1" w:lastColumn="0" w:oddVBand="0" w:evenVBand="0" w:oddHBand="0" w:evenHBand="0" w:firstRowFirstColumn="0" w:firstRowLastColumn="0" w:lastRowFirstColumn="0" w:lastRowLastColumn="0"/>
            <w:tcW w:w="6066" w:type="dxa"/>
            <w:tcBorders>
              <w:right w:val="single" w:sz="8" w:space="0" w:color="7BA0CD" w:themeColor="accent1" w:themeTint="BF"/>
            </w:tcBorders>
          </w:tcPr>
          <w:p w:rsidR="001505C5" w:rsidRPr="00513130" w:rsidRDefault="001505C5" w:rsidP="00DD3FF9">
            <w:pPr>
              <w:rPr>
                <w:sz w:val="20"/>
                <w:szCs w:val="20"/>
              </w:rPr>
            </w:pPr>
            <w:r>
              <w:rPr>
                <w:sz w:val="20"/>
                <w:szCs w:val="20"/>
              </w:rPr>
              <w:t>The position statement process was well organized.</w:t>
            </w:r>
          </w:p>
        </w:tc>
        <w:tc>
          <w:tcPr>
            <w:tcW w:w="2140"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 (2%)</w:t>
            </w:r>
          </w:p>
        </w:tc>
        <w:tc>
          <w:tcPr>
            <w:tcW w:w="1479" w:type="dxa"/>
            <w:tcBorders>
              <w:left w:val="single" w:sz="8" w:space="0" w:color="7BA0CD" w:themeColor="accent1" w:themeTint="BF"/>
              <w:right w:val="single" w:sz="8" w:space="0" w:color="7BA0CD" w:themeColor="accent1" w:themeTint="BF"/>
            </w:tcBorders>
            <w:vAlign w:val="center"/>
          </w:tcPr>
          <w:p w:rsidR="001505C5" w:rsidRPr="00BD528A"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130 (38%)</w:t>
            </w:r>
          </w:p>
        </w:tc>
        <w:tc>
          <w:tcPr>
            <w:tcW w:w="1139"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204 (60%)</w:t>
            </w:r>
          </w:p>
        </w:tc>
      </w:tr>
      <w:tr w:rsidR="001505C5" w:rsidRPr="00513130" w:rsidTr="00DD3FF9">
        <w:trPr>
          <w:gridAfter w:val="1"/>
          <w:cnfStyle w:val="000000010000" w:firstRow="0" w:lastRow="0" w:firstColumn="0" w:lastColumn="0" w:oddVBand="0" w:evenVBand="0" w:oddHBand="0" w:evenHBand="1" w:firstRowFirstColumn="0" w:firstRowLastColumn="0" w:lastRowFirstColumn="0" w:lastRowLastColumn="0"/>
          <w:wAfter w:w="22" w:type="dxa"/>
          <w:jc w:val="center"/>
        </w:trPr>
        <w:tc>
          <w:tcPr>
            <w:cnfStyle w:val="001000000000" w:firstRow="0" w:lastRow="0" w:firstColumn="1" w:lastColumn="0" w:oddVBand="0" w:evenVBand="0" w:oddHBand="0" w:evenHBand="0" w:firstRowFirstColumn="0" w:firstRowLastColumn="0" w:lastRowFirstColumn="0" w:lastRowLastColumn="0"/>
            <w:tcW w:w="6066" w:type="dxa"/>
            <w:tcBorders>
              <w:right w:val="single" w:sz="8" w:space="0" w:color="7BA0CD" w:themeColor="accent1" w:themeTint="BF"/>
            </w:tcBorders>
          </w:tcPr>
          <w:p w:rsidR="001505C5" w:rsidRPr="00513130" w:rsidRDefault="001505C5" w:rsidP="00DD3FF9">
            <w:pPr>
              <w:rPr>
                <w:sz w:val="20"/>
                <w:szCs w:val="20"/>
              </w:rPr>
            </w:pPr>
            <w:r>
              <w:rPr>
                <w:sz w:val="20"/>
                <w:szCs w:val="20"/>
              </w:rPr>
              <w:t>The information provided on the CSTE conference website was thorough.</w:t>
            </w:r>
          </w:p>
        </w:tc>
        <w:tc>
          <w:tcPr>
            <w:tcW w:w="2140"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9 (3%)</w:t>
            </w:r>
          </w:p>
        </w:tc>
        <w:tc>
          <w:tcPr>
            <w:tcW w:w="1479" w:type="dxa"/>
            <w:tcBorders>
              <w:left w:val="single" w:sz="8" w:space="0" w:color="7BA0CD" w:themeColor="accent1" w:themeTint="BF"/>
              <w:right w:val="single" w:sz="8" w:space="0" w:color="7BA0CD" w:themeColor="accent1" w:themeTint="BF"/>
            </w:tcBorders>
            <w:vAlign w:val="center"/>
          </w:tcPr>
          <w:p w:rsidR="001505C5" w:rsidRPr="00BD528A"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328 (97%)</w:t>
            </w:r>
          </w:p>
        </w:tc>
        <w:tc>
          <w:tcPr>
            <w:tcW w:w="1139"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 (1%)</w:t>
            </w:r>
          </w:p>
        </w:tc>
      </w:tr>
      <w:tr w:rsidR="001505C5" w:rsidRPr="00513130" w:rsidTr="00DD3FF9">
        <w:trPr>
          <w:gridAfter w:val="1"/>
          <w:cnfStyle w:val="000000100000" w:firstRow="0" w:lastRow="0" w:firstColumn="0" w:lastColumn="0" w:oddVBand="0" w:evenVBand="0" w:oddHBand="1" w:evenHBand="0" w:firstRowFirstColumn="0" w:firstRowLastColumn="0" w:lastRowFirstColumn="0" w:lastRowLastColumn="0"/>
          <w:wAfter w:w="22" w:type="dxa"/>
          <w:jc w:val="center"/>
        </w:trPr>
        <w:tc>
          <w:tcPr>
            <w:cnfStyle w:val="001000000000" w:firstRow="0" w:lastRow="0" w:firstColumn="1" w:lastColumn="0" w:oddVBand="0" w:evenVBand="0" w:oddHBand="0" w:evenHBand="0" w:firstRowFirstColumn="0" w:firstRowLastColumn="0" w:lastRowFirstColumn="0" w:lastRowLastColumn="0"/>
            <w:tcW w:w="6066" w:type="dxa"/>
            <w:tcBorders>
              <w:right w:val="single" w:sz="8" w:space="0" w:color="7BA0CD" w:themeColor="accent1" w:themeTint="BF"/>
            </w:tcBorders>
          </w:tcPr>
          <w:p w:rsidR="001505C5" w:rsidRPr="00513130" w:rsidRDefault="001505C5" w:rsidP="00DD3FF9">
            <w:pPr>
              <w:rPr>
                <w:sz w:val="20"/>
                <w:szCs w:val="20"/>
              </w:rPr>
            </w:pPr>
            <w:r>
              <w:rPr>
                <w:sz w:val="20"/>
                <w:szCs w:val="20"/>
              </w:rPr>
              <w:t>Travel to the conference site was easy to arrange.</w:t>
            </w:r>
          </w:p>
        </w:tc>
        <w:tc>
          <w:tcPr>
            <w:tcW w:w="2140"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29 (8%)</w:t>
            </w:r>
          </w:p>
        </w:tc>
        <w:tc>
          <w:tcPr>
            <w:tcW w:w="1479" w:type="dxa"/>
            <w:tcBorders>
              <w:left w:val="single" w:sz="8" w:space="0" w:color="7BA0CD" w:themeColor="accent1" w:themeTint="BF"/>
              <w:right w:val="single" w:sz="8" w:space="0" w:color="7BA0CD" w:themeColor="accent1" w:themeTint="BF"/>
            </w:tcBorders>
            <w:vAlign w:val="center"/>
          </w:tcPr>
          <w:p w:rsidR="001505C5" w:rsidRPr="00BD528A"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293 (87%)</w:t>
            </w:r>
          </w:p>
        </w:tc>
        <w:tc>
          <w:tcPr>
            <w:tcW w:w="1139"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16 (5%)</w:t>
            </w:r>
          </w:p>
        </w:tc>
      </w:tr>
      <w:tr w:rsidR="001505C5" w:rsidRPr="00513130" w:rsidTr="00DD3FF9">
        <w:trPr>
          <w:gridAfter w:val="1"/>
          <w:cnfStyle w:val="000000010000" w:firstRow="0" w:lastRow="0" w:firstColumn="0" w:lastColumn="0" w:oddVBand="0" w:evenVBand="0" w:oddHBand="0" w:evenHBand="1" w:firstRowFirstColumn="0" w:firstRowLastColumn="0" w:lastRowFirstColumn="0" w:lastRowLastColumn="0"/>
          <w:wAfter w:w="22" w:type="dxa"/>
          <w:jc w:val="center"/>
        </w:trPr>
        <w:tc>
          <w:tcPr>
            <w:cnfStyle w:val="001000000000" w:firstRow="0" w:lastRow="0" w:firstColumn="1" w:lastColumn="0" w:oddVBand="0" w:evenVBand="0" w:oddHBand="0" w:evenHBand="0" w:firstRowFirstColumn="0" w:firstRowLastColumn="0" w:lastRowFirstColumn="0" w:lastRowLastColumn="0"/>
            <w:tcW w:w="6066" w:type="dxa"/>
            <w:tcBorders>
              <w:right w:val="single" w:sz="8" w:space="0" w:color="7BA0CD" w:themeColor="accent1" w:themeTint="BF"/>
            </w:tcBorders>
          </w:tcPr>
          <w:p w:rsidR="001505C5" w:rsidRDefault="001505C5" w:rsidP="00DD3FF9">
            <w:pPr>
              <w:rPr>
                <w:sz w:val="20"/>
                <w:szCs w:val="20"/>
              </w:rPr>
            </w:pPr>
            <w:r w:rsidRPr="00015A31">
              <w:rPr>
                <w:sz w:val="20"/>
                <w:szCs w:val="20"/>
              </w:rPr>
              <w:t>The CSTE Annual Conference mobile (smart phone/tablet/</w:t>
            </w:r>
            <w:proofErr w:type="spellStart"/>
            <w:r w:rsidRPr="00015A31">
              <w:rPr>
                <w:sz w:val="20"/>
                <w:szCs w:val="20"/>
              </w:rPr>
              <w:t>ipad</w:t>
            </w:r>
            <w:proofErr w:type="spellEnd"/>
            <w:r w:rsidRPr="00015A31">
              <w:rPr>
                <w:sz w:val="20"/>
                <w:szCs w:val="20"/>
              </w:rPr>
              <w:t>) application was useful.</w:t>
            </w:r>
          </w:p>
        </w:tc>
        <w:tc>
          <w:tcPr>
            <w:tcW w:w="2140"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41 (12%)</w:t>
            </w:r>
          </w:p>
        </w:tc>
        <w:tc>
          <w:tcPr>
            <w:tcW w:w="1479" w:type="dxa"/>
            <w:tcBorders>
              <w:left w:val="single" w:sz="8" w:space="0" w:color="7BA0CD" w:themeColor="accent1" w:themeTint="BF"/>
              <w:right w:val="single" w:sz="8" w:space="0" w:color="7BA0CD" w:themeColor="accent1" w:themeTint="BF"/>
            </w:tcBorders>
            <w:vAlign w:val="center"/>
          </w:tcPr>
          <w:p w:rsidR="001505C5" w:rsidRPr="00BD528A"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215 (65%)</w:t>
            </w:r>
          </w:p>
        </w:tc>
        <w:tc>
          <w:tcPr>
            <w:tcW w:w="1139"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78 (23%)</w:t>
            </w:r>
          </w:p>
        </w:tc>
      </w:tr>
      <w:tr w:rsidR="001505C5" w:rsidRPr="00513130" w:rsidTr="00DD3FF9">
        <w:trPr>
          <w:gridAfter w:val="1"/>
          <w:cnfStyle w:val="000000100000" w:firstRow="0" w:lastRow="0" w:firstColumn="0" w:lastColumn="0" w:oddVBand="0" w:evenVBand="0" w:oddHBand="1" w:evenHBand="0" w:firstRowFirstColumn="0" w:firstRowLastColumn="0" w:lastRowFirstColumn="0" w:lastRowLastColumn="0"/>
          <w:wAfter w:w="22" w:type="dxa"/>
          <w:jc w:val="center"/>
        </w:trPr>
        <w:tc>
          <w:tcPr>
            <w:cnfStyle w:val="001000000000" w:firstRow="0" w:lastRow="0" w:firstColumn="1" w:lastColumn="0" w:oddVBand="0" w:evenVBand="0" w:oddHBand="0" w:evenHBand="0" w:firstRowFirstColumn="0" w:firstRowLastColumn="0" w:lastRowFirstColumn="0" w:lastRowLastColumn="0"/>
            <w:tcW w:w="6066" w:type="dxa"/>
            <w:tcBorders>
              <w:right w:val="single" w:sz="8" w:space="0" w:color="7BA0CD" w:themeColor="accent1" w:themeTint="BF"/>
            </w:tcBorders>
          </w:tcPr>
          <w:p w:rsidR="001505C5" w:rsidRDefault="001505C5" w:rsidP="00DD3FF9">
            <w:pPr>
              <w:rPr>
                <w:sz w:val="20"/>
                <w:szCs w:val="20"/>
              </w:rPr>
            </w:pPr>
            <w:r>
              <w:rPr>
                <w:sz w:val="20"/>
                <w:szCs w:val="20"/>
              </w:rPr>
              <w:t>I would recommend this conference to other colleagues.</w:t>
            </w:r>
          </w:p>
        </w:tc>
        <w:tc>
          <w:tcPr>
            <w:tcW w:w="2140"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 (2%)</w:t>
            </w:r>
          </w:p>
        </w:tc>
        <w:tc>
          <w:tcPr>
            <w:tcW w:w="1479" w:type="dxa"/>
            <w:tcBorders>
              <w:left w:val="single" w:sz="8" w:space="0" w:color="7BA0CD" w:themeColor="accent1" w:themeTint="BF"/>
              <w:right w:val="single" w:sz="8" w:space="0" w:color="7BA0CD" w:themeColor="accent1" w:themeTint="BF"/>
            </w:tcBorders>
            <w:vAlign w:val="center"/>
          </w:tcPr>
          <w:p w:rsidR="001505C5" w:rsidRPr="00BD528A"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329 (97%)</w:t>
            </w:r>
          </w:p>
        </w:tc>
        <w:tc>
          <w:tcPr>
            <w:tcW w:w="1139"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 (1%)</w:t>
            </w:r>
          </w:p>
        </w:tc>
      </w:tr>
    </w:tbl>
    <w:p w:rsidR="001505C5" w:rsidRDefault="001505C5" w:rsidP="001505C5">
      <w:pPr>
        <w:spacing w:after="0"/>
        <w:rPr>
          <w:b/>
          <w:sz w:val="20"/>
          <w:szCs w:val="20"/>
          <w:u w:val="single"/>
        </w:rPr>
      </w:pPr>
    </w:p>
    <w:p w:rsidR="001505C5" w:rsidRDefault="001505C5" w:rsidP="001505C5">
      <w:pPr>
        <w:spacing w:after="0" w:line="240" w:lineRule="auto"/>
        <w:rPr>
          <w:b/>
          <w:sz w:val="20"/>
          <w:szCs w:val="20"/>
          <w:u w:val="single"/>
        </w:rPr>
      </w:pPr>
    </w:p>
    <w:p w:rsidR="001505C5" w:rsidRPr="00F52DD8" w:rsidRDefault="001505C5" w:rsidP="001505C5">
      <w:pPr>
        <w:spacing w:after="0" w:line="240" w:lineRule="auto"/>
        <w:rPr>
          <w:b/>
          <w:sz w:val="20"/>
          <w:szCs w:val="20"/>
          <w:u w:val="single"/>
        </w:rPr>
      </w:pPr>
      <w:bookmarkStart w:id="0" w:name="_GoBack"/>
      <w:bookmarkEnd w:id="0"/>
      <w:r w:rsidRPr="00F52DD8">
        <w:rPr>
          <w:b/>
          <w:sz w:val="20"/>
          <w:szCs w:val="20"/>
          <w:u w:val="single"/>
        </w:rPr>
        <w:t>Key findings from evaluation</w:t>
      </w:r>
    </w:p>
    <w:p w:rsidR="001505C5" w:rsidRPr="00985369" w:rsidRDefault="001505C5" w:rsidP="001505C5">
      <w:pPr>
        <w:pStyle w:val="ListParagraph"/>
        <w:numPr>
          <w:ilvl w:val="0"/>
          <w:numId w:val="3"/>
        </w:numPr>
        <w:spacing w:after="0" w:line="240" w:lineRule="auto"/>
        <w:ind w:left="360"/>
        <w:rPr>
          <w:sz w:val="20"/>
          <w:szCs w:val="20"/>
        </w:rPr>
      </w:pPr>
      <w:r w:rsidRPr="00985369">
        <w:rPr>
          <w:sz w:val="20"/>
          <w:szCs w:val="20"/>
        </w:rPr>
        <w:t>Overall the CSTE conference is still viewed as the epidemiology conference to attend.</w:t>
      </w:r>
    </w:p>
    <w:p w:rsidR="001505C5" w:rsidRPr="00985369" w:rsidRDefault="001505C5" w:rsidP="001505C5">
      <w:pPr>
        <w:pStyle w:val="ListParagraph"/>
        <w:numPr>
          <w:ilvl w:val="0"/>
          <w:numId w:val="3"/>
        </w:numPr>
        <w:spacing w:after="0" w:line="240" w:lineRule="auto"/>
        <w:ind w:left="360"/>
        <w:rPr>
          <w:sz w:val="20"/>
          <w:szCs w:val="20"/>
        </w:rPr>
      </w:pPr>
      <w:r w:rsidRPr="00985369">
        <w:rPr>
          <w:sz w:val="20"/>
          <w:szCs w:val="20"/>
        </w:rPr>
        <w:t>Attendees value the networking opportunities as well as the quality of the sessions.</w:t>
      </w:r>
    </w:p>
    <w:p w:rsidR="001505C5" w:rsidRPr="00985369" w:rsidRDefault="001505C5" w:rsidP="001505C5">
      <w:pPr>
        <w:pStyle w:val="ListParagraph"/>
        <w:numPr>
          <w:ilvl w:val="0"/>
          <w:numId w:val="3"/>
        </w:numPr>
        <w:spacing w:after="0" w:line="240" w:lineRule="auto"/>
        <w:ind w:left="360"/>
        <w:rPr>
          <w:sz w:val="20"/>
          <w:szCs w:val="20"/>
        </w:rPr>
      </w:pPr>
      <w:r w:rsidRPr="00985369">
        <w:rPr>
          <w:sz w:val="20"/>
          <w:szCs w:val="20"/>
        </w:rPr>
        <w:t>Participants want more diversity among plenary and invited speakers.</w:t>
      </w:r>
    </w:p>
    <w:p w:rsidR="001505C5" w:rsidRPr="00985369" w:rsidRDefault="001505C5" w:rsidP="001505C5">
      <w:pPr>
        <w:pStyle w:val="ListParagraph"/>
        <w:numPr>
          <w:ilvl w:val="0"/>
          <w:numId w:val="3"/>
        </w:numPr>
        <w:spacing w:after="0" w:line="240" w:lineRule="auto"/>
        <w:ind w:left="360"/>
        <w:rPr>
          <w:sz w:val="20"/>
          <w:szCs w:val="20"/>
        </w:rPr>
      </w:pPr>
      <w:r w:rsidRPr="00985369">
        <w:rPr>
          <w:sz w:val="20"/>
          <w:szCs w:val="20"/>
        </w:rPr>
        <w:lastRenderedPageBreak/>
        <w:t xml:space="preserve">The mobile app has improved and is highly </w:t>
      </w:r>
      <w:proofErr w:type="gramStart"/>
      <w:r w:rsidRPr="00985369">
        <w:rPr>
          <w:sz w:val="20"/>
          <w:szCs w:val="20"/>
        </w:rPr>
        <w:t>used,</w:t>
      </w:r>
      <w:proofErr w:type="gramEnd"/>
      <w:r w:rsidRPr="00985369">
        <w:rPr>
          <w:sz w:val="20"/>
          <w:szCs w:val="20"/>
        </w:rPr>
        <w:t xml:space="preserve"> one drawback or concern noted by attendees was the internet connectivity that is necessary to run the app.</w:t>
      </w:r>
    </w:p>
    <w:p w:rsidR="001505C5" w:rsidRDefault="001505C5" w:rsidP="001505C5">
      <w:pPr>
        <w:pStyle w:val="ListParagraph"/>
        <w:numPr>
          <w:ilvl w:val="0"/>
          <w:numId w:val="3"/>
        </w:numPr>
        <w:spacing w:after="0" w:line="240" w:lineRule="auto"/>
        <w:ind w:left="360"/>
        <w:rPr>
          <w:sz w:val="20"/>
          <w:szCs w:val="20"/>
        </w:rPr>
      </w:pPr>
      <w:r w:rsidRPr="00985369">
        <w:rPr>
          <w:sz w:val="20"/>
          <w:szCs w:val="20"/>
        </w:rPr>
        <w:t>While the hardcopy agenda is still heavily used and many participants indicate preferring hardcopy as a historical document to share with co-workers, based on evaluation feedback the mobile app and the website are the two most heavily used agenda sources.</w:t>
      </w:r>
    </w:p>
    <w:p w:rsidR="001505C5" w:rsidRDefault="001505C5" w:rsidP="001505C5">
      <w:pPr>
        <w:pStyle w:val="ListParagraph"/>
        <w:numPr>
          <w:ilvl w:val="0"/>
          <w:numId w:val="3"/>
        </w:numPr>
        <w:spacing w:after="0" w:line="240" w:lineRule="auto"/>
        <w:ind w:left="360"/>
        <w:rPr>
          <w:sz w:val="20"/>
          <w:szCs w:val="20"/>
        </w:rPr>
      </w:pPr>
      <w:r>
        <w:rPr>
          <w:sz w:val="20"/>
          <w:szCs w:val="20"/>
        </w:rPr>
        <w:t>Room size was an issue for several sessions, particularly the new pilot rapid fire sessions which were popular.</w:t>
      </w:r>
    </w:p>
    <w:p w:rsidR="001505C5" w:rsidRDefault="001505C5" w:rsidP="001505C5">
      <w:pPr>
        <w:pStyle w:val="ListParagraph"/>
        <w:numPr>
          <w:ilvl w:val="0"/>
          <w:numId w:val="3"/>
        </w:numPr>
        <w:spacing w:after="0" w:line="240" w:lineRule="auto"/>
        <w:ind w:left="360"/>
        <w:rPr>
          <w:sz w:val="20"/>
          <w:szCs w:val="20"/>
        </w:rPr>
      </w:pPr>
      <w:r>
        <w:rPr>
          <w:sz w:val="20"/>
          <w:szCs w:val="20"/>
        </w:rPr>
        <w:t>Both pilot session types – rapid fire and poster rounds – were very popular among all participants.</w:t>
      </w:r>
    </w:p>
    <w:p w:rsidR="001505C5" w:rsidRPr="00985369" w:rsidRDefault="001505C5" w:rsidP="001505C5">
      <w:pPr>
        <w:pStyle w:val="ListParagraph"/>
        <w:numPr>
          <w:ilvl w:val="0"/>
          <w:numId w:val="3"/>
        </w:numPr>
        <w:spacing w:after="0" w:line="240" w:lineRule="auto"/>
        <w:ind w:left="360"/>
        <w:rPr>
          <w:sz w:val="20"/>
          <w:szCs w:val="20"/>
        </w:rPr>
      </w:pPr>
      <w:r>
        <w:rPr>
          <w:sz w:val="20"/>
          <w:szCs w:val="20"/>
        </w:rPr>
        <w:t xml:space="preserve">In general, participants would rather keep poster sessions </w:t>
      </w:r>
      <w:proofErr w:type="spellStart"/>
      <w:r>
        <w:rPr>
          <w:sz w:val="20"/>
          <w:szCs w:val="20"/>
        </w:rPr>
        <w:t>they</w:t>
      </w:r>
      <w:proofErr w:type="spellEnd"/>
      <w:r>
        <w:rPr>
          <w:sz w:val="20"/>
          <w:szCs w:val="20"/>
        </w:rPr>
        <w:t xml:space="preserve"> way the currently are rather than to adjust the schedule by reducing breakouts.</w:t>
      </w:r>
    </w:p>
    <w:p w:rsidR="001505C5" w:rsidRPr="00E44C9C" w:rsidRDefault="001505C5" w:rsidP="001505C5">
      <w:pPr>
        <w:spacing w:after="0"/>
        <w:rPr>
          <w:b/>
          <w:sz w:val="20"/>
          <w:szCs w:val="20"/>
          <w:u w:val="single"/>
        </w:rPr>
      </w:pPr>
    </w:p>
    <w:p w:rsidR="001505C5" w:rsidRPr="00347420" w:rsidRDefault="001505C5" w:rsidP="001505C5">
      <w:pPr>
        <w:spacing w:after="0"/>
        <w:ind w:left="360"/>
        <w:rPr>
          <w:b/>
          <w:sz w:val="20"/>
          <w:szCs w:val="20"/>
          <w:u w:val="single"/>
        </w:rPr>
      </w:pPr>
      <w:r w:rsidRPr="00347420">
        <w:rPr>
          <w:b/>
          <w:sz w:val="20"/>
          <w:szCs w:val="20"/>
          <w:u w:val="single"/>
        </w:rPr>
        <w:t>Plenary evaluation</w:t>
      </w:r>
    </w:p>
    <w:tbl>
      <w:tblPr>
        <w:tblStyle w:val="MediumShading1-Accent1"/>
        <w:tblW w:w="9579" w:type="dxa"/>
        <w:jc w:val="center"/>
        <w:tblInd w:w="18" w:type="dxa"/>
        <w:tblLook w:val="04A0" w:firstRow="1" w:lastRow="0" w:firstColumn="1" w:lastColumn="0" w:noHBand="0" w:noVBand="1"/>
      </w:tblPr>
      <w:tblGrid>
        <w:gridCol w:w="5008"/>
        <w:gridCol w:w="1744"/>
        <w:gridCol w:w="1337"/>
        <w:gridCol w:w="1490"/>
      </w:tblGrid>
      <w:tr w:rsidR="001505C5" w:rsidRPr="00513130" w:rsidTr="00DD3FF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9" w:type="dxa"/>
            <w:gridSpan w:val="4"/>
            <w:shd w:val="clear" w:color="auto" w:fill="BFBFBF" w:themeFill="background1" w:themeFillShade="BF"/>
          </w:tcPr>
          <w:p w:rsidR="001505C5" w:rsidRPr="00505DC1" w:rsidRDefault="001505C5" w:rsidP="00DD3FF9">
            <w:pPr>
              <w:jc w:val="center"/>
              <w:rPr>
                <w:b w:val="0"/>
                <w:i/>
                <w:sz w:val="20"/>
                <w:szCs w:val="20"/>
              </w:rPr>
            </w:pPr>
            <w:r>
              <w:rPr>
                <w:color w:val="000000" w:themeColor="text1"/>
                <w:sz w:val="20"/>
                <w:szCs w:val="20"/>
              </w:rPr>
              <w:t>Opening Plenary – The Future is Here    Monday, June 23, 2014</w:t>
            </w:r>
          </w:p>
        </w:tc>
      </w:tr>
      <w:tr w:rsidR="001505C5" w:rsidRPr="00513130" w:rsidTr="00DD3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p>
        </w:tc>
        <w:tc>
          <w:tcPr>
            <w:tcW w:w="1744" w:type="dxa"/>
            <w:tcBorders>
              <w:left w:val="single" w:sz="8" w:space="0" w:color="7BA0CD" w:themeColor="accent1" w:themeTint="BF"/>
            </w:tcBorders>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13130">
              <w:rPr>
                <w:b/>
                <w:sz w:val="20"/>
                <w:szCs w:val="20"/>
              </w:rPr>
              <w:t>Strongly Disagree</w:t>
            </w:r>
            <w:r>
              <w:rPr>
                <w:b/>
                <w:sz w:val="20"/>
                <w:szCs w:val="20"/>
              </w:rPr>
              <w:t>/Disagree</w:t>
            </w:r>
          </w:p>
        </w:tc>
        <w:tc>
          <w:tcPr>
            <w:tcW w:w="1337" w:type="dxa"/>
            <w:tcBorders>
              <w:left w:val="single" w:sz="8" w:space="0" w:color="7BA0CD" w:themeColor="accent1" w:themeTint="BF"/>
              <w:right w:val="single" w:sz="8" w:space="0" w:color="7BA0CD" w:themeColor="accent1" w:themeTint="BF"/>
            </w:tcBorders>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513130">
              <w:rPr>
                <w:b/>
                <w:sz w:val="20"/>
                <w:szCs w:val="20"/>
              </w:rPr>
              <w:t>N/A</w:t>
            </w:r>
          </w:p>
        </w:tc>
        <w:tc>
          <w:tcPr>
            <w:tcW w:w="1490" w:type="dxa"/>
            <w:tcBorders>
              <w:left w:val="single" w:sz="8" w:space="0" w:color="7BA0CD" w:themeColor="accent1" w:themeTint="BF"/>
            </w:tcBorders>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Agree/Strongly Agree</w:t>
            </w:r>
          </w:p>
        </w:tc>
      </w:tr>
      <w:tr w:rsidR="001505C5" w:rsidRPr="00513130" w:rsidTr="00DD3FF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r>
              <w:rPr>
                <w:sz w:val="20"/>
                <w:szCs w:val="20"/>
              </w:rPr>
              <w:t>This session invigorated or inspired me. (N=309)</w:t>
            </w:r>
          </w:p>
        </w:tc>
        <w:tc>
          <w:tcPr>
            <w:tcW w:w="1744"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30 (10%)</w:t>
            </w:r>
          </w:p>
        </w:tc>
        <w:tc>
          <w:tcPr>
            <w:tcW w:w="1337" w:type="dxa"/>
            <w:tcBorders>
              <w:left w:val="single" w:sz="8" w:space="0" w:color="7BA0CD" w:themeColor="accent1" w:themeTint="BF"/>
              <w:right w:val="single" w:sz="8" w:space="0" w:color="7BA0CD" w:themeColor="accent1" w:themeTint="BF"/>
            </w:tcBorders>
            <w:vAlign w:val="center"/>
          </w:tcPr>
          <w:p w:rsidR="001505C5" w:rsidRPr="00E44C9C"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sidRPr="00E44C9C">
              <w:rPr>
                <w:sz w:val="20"/>
                <w:szCs w:val="20"/>
              </w:rPr>
              <w:t>53 (17%)</w:t>
            </w:r>
          </w:p>
        </w:tc>
        <w:tc>
          <w:tcPr>
            <w:tcW w:w="1490" w:type="dxa"/>
            <w:tcBorders>
              <w:left w:val="single" w:sz="8" w:space="0" w:color="7BA0CD" w:themeColor="accent1" w:themeTint="BF"/>
            </w:tcBorders>
            <w:vAlign w:val="center"/>
          </w:tcPr>
          <w:p w:rsidR="001505C5" w:rsidRPr="00E44C9C"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sidRPr="00E44C9C">
              <w:rPr>
                <w:b/>
                <w:sz w:val="20"/>
                <w:szCs w:val="20"/>
              </w:rPr>
              <w:t>226 (73%)</w:t>
            </w:r>
          </w:p>
        </w:tc>
      </w:tr>
      <w:tr w:rsidR="001505C5" w:rsidRPr="00513130" w:rsidTr="00DD3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r>
              <w:rPr>
                <w:sz w:val="20"/>
                <w:szCs w:val="20"/>
              </w:rPr>
              <w:t>This plenary was relevant to my work. (N=311)</w:t>
            </w:r>
          </w:p>
        </w:tc>
        <w:tc>
          <w:tcPr>
            <w:tcW w:w="1744"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34 (11%)</w:t>
            </w:r>
          </w:p>
        </w:tc>
        <w:tc>
          <w:tcPr>
            <w:tcW w:w="1337" w:type="dxa"/>
            <w:tcBorders>
              <w:left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50 (16%)</w:t>
            </w:r>
          </w:p>
        </w:tc>
        <w:tc>
          <w:tcPr>
            <w:tcW w:w="1490" w:type="dxa"/>
            <w:tcBorders>
              <w:left w:val="single" w:sz="8" w:space="0" w:color="7BA0CD" w:themeColor="accent1" w:themeTint="BF"/>
            </w:tcBorders>
            <w:vAlign w:val="center"/>
          </w:tcPr>
          <w:p w:rsidR="001505C5" w:rsidRPr="00C83B71"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227 (73%)</w:t>
            </w:r>
          </w:p>
        </w:tc>
      </w:tr>
      <w:tr w:rsidR="001505C5" w:rsidRPr="00513130" w:rsidTr="00DD3FF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bottom w:val="single" w:sz="8" w:space="0" w:color="7BA0CD" w:themeColor="accent1" w:themeTint="BF"/>
              <w:right w:val="single" w:sz="8" w:space="0" w:color="7BA0CD" w:themeColor="accent1" w:themeTint="BF"/>
            </w:tcBorders>
          </w:tcPr>
          <w:p w:rsidR="001505C5" w:rsidRPr="00513130" w:rsidRDefault="001505C5" w:rsidP="00DD3FF9">
            <w:pPr>
              <w:rPr>
                <w:sz w:val="20"/>
                <w:szCs w:val="20"/>
              </w:rPr>
            </w:pPr>
            <w:r>
              <w:rPr>
                <w:sz w:val="20"/>
                <w:szCs w:val="20"/>
              </w:rPr>
              <w:t>Overall this plenary was useful. (N=309)</w:t>
            </w:r>
          </w:p>
        </w:tc>
        <w:tc>
          <w:tcPr>
            <w:tcW w:w="1744" w:type="dxa"/>
            <w:tcBorders>
              <w:left w:val="single" w:sz="8" w:space="0" w:color="7BA0CD" w:themeColor="accent1" w:themeTint="BF"/>
              <w:bottom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22 (7%)</w:t>
            </w:r>
          </w:p>
        </w:tc>
        <w:tc>
          <w:tcPr>
            <w:tcW w:w="1337" w:type="dxa"/>
            <w:tcBorders>
              <w:left w:val="single" w:sz="8" w:space="0" w:color="7BA0CD" w:themeColor="accent1" w:themeTint="BF"/>
              <w:bottom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45 (15%)</w:t>
            </w:r>
          </w:p>
        </w:tc>
        <w:tc>
          <w:tcPr>
            <w:tcW w:w="1490" w:type="dxa"/>
            <w:tcBorders>
              <w:left w:val="single" w:sz="8" w:space="0" w:color="7BA0CD" w:themeColor="accent1" w:themeTint="BF"/>
              <w:bottom w:val="single" w:sz="8" w:space="0" w:color="7BA0CD" w:themeColor="accent1" w:themeTint="BF"/>
            </w:tcBorders>
            <w:vAlign w:val="center"/>
          </w:tcPr>
          <w:p w:rsidR="001505C5" w:rsidRPr="00C83B71"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242 (78%)</w:t>
            </w:r>
          </w:p>
        </w:tc>
      </w:tr>
      <w:tr w:rsidR="001505C5" w:rsidRPr="00513130" w:rsidTr="00DD3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9" w:type="dxa"/>
            <w:gridSpan w:val="4"/>
            <w:shd w:val="clear" w:color="auto" w:fill="BFBFBF" w:themeFill="background1" w:themeFillShade="BF"/>
          </w:tcPr>
          <w:p w:rsidR="001505C5" w:rsidRPr="00505DC1" w:rsidRDefault="001505C5" w:rsidP="00DD3FF9">
            <w:pPr>
              <w:jc w:val="center"/>
              <w:rPr>
                <w:b w:val="0"/>
                <w:i/>
                <w:sz w:val="20"/>
                <w:szCs w:val="20"/>
              </w:rPr>
            </w:pPr>
            <w:r>
              <w:rPr>
                <w:sz w:val="20"/>
                <w:szCs w:val="20"/>
              </w:rPr>
              <w:t xml:space="preserve">Making Gains </w:t>
            </w:r>
            <w:r>
              <w:rPr>
                <w:b w:val="0"/>
                <w:i/>
                <w:sz w:val="20"/>
                <w:szCs w:val="20"/>
              </w:rPr>
              <w:t xml:space="preserve">Tuesday June 24, 2014 </w:t>
            </w:r>
          </w:p>
        </w:tc>
      </w:tr>
      <w:tr w:rsidR="001505C5" w:rsidRPr="00513130" w:rsidTr="00DD3FF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r>
              <w:rPr>
                <w:sz w:val="20"/>
                <w:szCs w:val="20"/>
              </w:rPr>
              <w:t>This session invigorated or inspired me. (N=312)</w:t>
            </w:r>
          </w:p>
        </w:tc>
        <w:tc>
          <w:tcPr>
            <w:tcW w:w="1744"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28 (9%)</w:t>
            </w:r>
          </w:p>
        </w:tc>
        <w:tc>
          <w:tcPr>
            <w:tcW w:w="1337" w:type="dxa"/>
            <w:tcBorders>
              <w:left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74 (24%)</w:t>
            </w:r>
          </w:p>
        </w:tc>
        <w:tc>
          <w:tcPr>
            <w:tcW w:w="1490" w:type="dxa"/>
            <w:tcBorders>
              <w:left w:val="single" w:sz="8" w:space="0" w:color="7BA0CD" w:themeColor="accent1" w:themeTint="BF"/>
            </w:tcBorders>
            <w:vAlign w:val="center"/>
          </w:tcPr>
          <w:p w:rsidR="001505C5" w:rsidRPr="00C83B71"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210 (67%)</w:t>
            </w:r>
          </w:p>
        </w:tc>
      </w:tr>
      <w:tr w:rsidR="001505C5" w:rsidRPr="00513130" w:rsidTr="00DD3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r>
              <w:rPr>
                <w:sz w:val="20"/>
                <w:szCs w:val="20"/>
              </w:rPr>
              <w:t>This plenary was relevant to my work. (N=310)</w:t>
            </w:r>
          </w:p>
        </w:tc>
        <w:tc>
          <w:tcPr>
            <w:tcW w:w="1744"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38 (12%)</w:t>
            </w:r>
          </w:p>
        </w:tc>
        <w:tc>
          <w:tcPr>
            <w:tcW w:w="1337" w:type="dxa"/>
            <w:tcBorders>
              <w:left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70 (23%)</w:t>
            </w:r>
          </w:p>
        </w:tc>
        <w:tc>
          <w:tcPr>
            <w:tcW w:w="1490" w:type="dxa"/>
            <w:tcBorders>
              <w:left w:val="single" w:sz="8" w:space="0" w:color="7BA0CD" w:themeColor="accent1" w:themeTint="BF"/>
            </w:tcBorders>
            <w:vAlign w:val="center"/>
          </w:tcPr>
          <w:p w:rsidR="001505C5" w:rsidRPr="00C83B71"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202 (66%)</w:t>
            </w:r>
          </w:p>
        </w:tc>
      </w:tr>
      <w:tr w:rsidR="001505C5" w:rsidRPr="00513130" w:rsidTr="00DD3FF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bottom w:val="single" w:sz="8" w:space="0" w:color="7BA0CD" w:themeColor="accent1" w:themeTint="BF"/>
              <w:right w:val="single" w:sz="8" w:space="0" w:color="7BA0CD" w:themeColor="accent1" w:themeTint="BF"/>
            </w:tcBorders>
          </w:tcPr>
          <w:p w:rsidR="001505C5" w:rsidRPr="00513130" w:rsidRDefault="001505C5" w:rsidP="00DD3FF9">
            <w:pPr>
              <w:rPr>
                <w:sz w:val="20"/>
                <w:szCs w:val="20"/>
              </w:rPr>
            </w:pPr>
            <w:r>
              <w:rPr>
                <w:sz w:val="20"/>
                <w:szCs w:val="20"/>
              </w:rPr>
              <w:t>Overall this plenary was useful. (N=213)</w:t>
            </w:r>
          </w:p>
        </w:tc>
        <w:tc>
          <w:tcPr>
            <w:tcW w:w="1744" w:type="dxa"/>
            <w:tcBorders>
              <w:left w:val="single" w:sz="8" w:space="0" w:color="7BA0CD" w:themeColor="accent1" w:themeTint="BF"/>
              <w:bottom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16 (5%)</w:t>
            </w:r>
          </w:p>
        </w:tc>
        <w:tc>
          <w:tcPr>
            <w:tcW w:w="1337" w:type="dxa"/>
            <w:tcBorders>
              <w:left w:val="single" w:sz="8" w:space="0" w:color="7BA0CD" w:themeColor="accent1" w:themeTint="BF"/>
              <w:bottom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68 (22%)</w:t>
            </w:r>
          </w:p>
        </w:tc>
        <w:tc>
          <w:tcPr>
            <w:tcW w:w="1490" w:type="dxa"/>
            <w:tcBorders>
              <w:left w:val="single" w:sz="8" w:space="0" w:color="7BA0CD" w:themeColor="accent1" w:themeTint="BF"/>
              <w:bottom w:val="single" w:sz="8" w:space="0" w:color="7BA0CD" w:themeColor="accent1" w:themeTint="BF"/>
            </w:tcBorders>
            <w:vAlign w:val="center"/>
          </w:tcPr>
          <w:p w:rsidR="001505C5" w:rsidRPr="00C83B71"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224 (72%)</w:t>
            </w:r>
          </w:p>
        </w:tc>
      </w:tr>
      <w:tr w:rsidR="001505C5" w:rsidRPr="00513130" w:rsidTr="00DD3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579" w:type="dxa"/>
            <w:gridSpan w:val="4"/>
            <w:shd w:val="clear" w:color="auto" w:fill="BFBFBF" w:themeFill="background1" w:themeFillShade="BF"/>
          </w:tcPr>
          <w:p w:rsidR="001505C5" w:rsidRPr="00505DC1" w:rsidRDefault="001505C5" w:rsidP="00DD3FF9">
            <w:pPr>
              <w:jc w:val="center"/>
              <w:rPr>
                <w:b w:val="0"/>
                <w:i/>
                <w:sz w:val="20"/>
                <w:szCs w:val="20"/>
              </w:rPr>
            </w:pPr>
            <w:r>
              <w:rPr>
                <w:sz w:val="20"/>
                <w:szCs w:val="20"/>
              </w:rPr>
              <w:t xml:space="preserve">Keeping People Safe </w:t>
            </w:r>
            <w:r>
              <w:rPr>
                <w:b w:val="0"/>
                <w:i/>
                <w:sz w:val="20"/>
                <w:szCs w:val="20"/>
              </w:rPr>
              <w:t>Wednesday June 25, 2014</w:t>
            </w:r>
          </w:p>
        </w:tc>
      </w:tr>
      <w:tr w:rsidR="001505C5" w:rsidRPr="00513130" w:rsidTr="00DD3FF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r>
              <w:rPr>
                <w:sz w:val="20"/>
                <w:szCs w:val="20"/>
              </w:rPr>
              <w:t>This session invigorated or inspired me. (N=212)</w:t>
            </w:r>
          </w:p>
        </w:tc>
        <w:tc>
          <w:tcPr>
            <w:tcW w:w="1744"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29 (9%)</w:t>
            </w:r>
          </w:p>
        </w:tc>
        <w:tc>
          <w:tcPr>
            <w:tcW w:w="1337" w:type="dxa"/>
            <w:tcBorders>
              <w:left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96 (31%)</w:t>
            </w:r>
          </w:p>
        </w:tc>
        <w:tc>
          <w:tcPr>
            <w:tcW w:w="1490" w:type="dxa"/>
            <w:tcBorders>
              <w:left w:val="single" w:sz="8" w:space="0" w:color="7BA0CD" w:themeColor="accent1" w:themeTint="BF"/>
            </w:tcBorders>
            <w:vAlign w:val="center"/>
          </w:tcPr>
          <w:p w:rsidR="001505C5" w:rsidRPr="00C83B71"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181 (59%)</w:t>
            </w:r>
          </w:p>
        </w:tc>
      </w:tr>
      <w:tr w:rsidR="001505C5" w:rsidRPr="00513130" w:rsidTr="00DD3FF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r>
              <w:rPr>
                <w:sz w:val="20"/>
                <w:szCs w:val="20"/>
              </w:rPr>
              <w:t>This plenary was relevant to my work. (N=211)</w:t>
            </w:r>
          </w:p>
        </w:tc>
        <w:tc>
          <w:tcPr>
            <w:tcW w:w="1744" w:type="dxa"/>
            <w:tcBorders>
              <w:lef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53 (17%)</w:t>
            </w:r>
          </w:p>
        </w:tc>
        <w:tc>
          <w:tcPr>
            <w:tcW w:w="1337" w:type="dxa"/>
            <w:tcBorders>
              <w:left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91 (30%)</w:t>
            </w:r>
          </w:p>
        </w:tc>
        <w:tc>
          <w:tcPr>
            <w:tcW w:w="1490" w:type="dxa"/>
            <w:tcBorders>
              <w:left w:val="single" w:sz="8" w:space="0" w:color="7BA0CD" w:themeColor="accent1" w:themeTint="BF"/>
            </w:tcBorders>
            <w:vAlign w:val="center"/>
          </w:tcPr>
          <w:p w:rsidR="001505C5" w:rsidRPr="00C83B71" w:rsidRDefault="001505C5" w:rsidP="00DD3FF9">
            <w:pPr>
              <w:jc w:val="center"/>
              <w:cnfStyle w:val="000000100000" w:firstRow="0" w:lastRow="0" w:firstColumn="0" w:lastColumn="0" w:oddVBand="0" w:evenVBand="0" w:oddHBand="1" w:evenHBand="0" w:firstRowFirstColumn="0" w:firstRowLastColumn="0" w:lastRowFirstColumn="0" w:lastRowLastColumn="0"/>
              <w:rPr>
                <w:b/>
                <w:sz w:val="20"/>
                <w:szCs w:val="20"/>
              </w:rPr>
            </w:pPr>
            <w:r>
              <w:rPr>
                <w:b/>
                <w:sz w:val="20"/>
                <w:szCs w:val="20"/>
              </w:rPr>
              <w:t>160 (52%)</w:t>
            </w:r>
          </w:p>
        </w:tc>
      </w:tr>
      <w:tr w:rsidR="001505C5" w:rsidRPr="00513130" w:rsidTr="00DD3FF9">
        <w:trPr>
          <w:cnfStyle w:val="000000010000" w:firstRow="0" w:lastRow="0" w:firstColumn="0" w:lastColumn="0" w:oddVBand="0" w:evenVBand="0" w:oddHBand="0" w:evenHBand="1"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008" w:type="dxa"/>
            <w:tcBorders>
              <w:right w:val="single" w:sz="8" w:space="0" w:color="7BA0CD" w:themeColor="accent1" w:themeTint="BF"/>
            </w:tcBorders>
          </w:tcPr>
          <w:p w:rsidR="001505C5" w:rsidRPr="00513130" w:rsidRDefault="001505C5" w:rsidP="00DD3FF9">
            <w:pPr>
              <w:rPr>
                <w:sz w:val="20"/>
                <w:szCs w:val="20"/>
              </w:rPr>
            </w:pPr>
            <w:r>
              <w:rPr>
                <w:sz w:val="20"/>
                <w:szCs w:val="20"/>
              </w:rPr>
              <w:t>Overall this plenary was useful. (N=207)</w:t>
            </w:r>
          </w:p>
        </w:tc>
        <w:tc>
          <w:tcPr>
            <w:tcW w:w="1744" w:type="dxa"/>
            <w:tcBorders>
              <w:lef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26 (8%)</w:t>
            </w:r>
          </w:p>
        </w:tc>
        <w:tc>
          <w:tcPr>
            <w:tcW w:w="1337" w:type="dxa"/>
            <w:tcBorders>
              <w:left w:val="single" w:sz="8" w:space="0" w:color="7BA0CD" w:themeColor="accent1" w:themeTint="BF"/>
              <w:right w:val="single" w:sz="8" w:space="0" w:color="7BA0CD" w:themeColor="accent1" w:themeTint="BF"/>
            </w:tcBorders>
            <w:vAlign w:val="center"/>
          </w:tcPr>
          <w:p w:rsidR="001505C5" w:rsidRPr="00513130" w:rsidRDefault="001505C5" w:rsidP="00DD3FF9">
            <w:pPr>
              <w:jc w:val="cente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92 (30%)</w:t>
            </w:r>
          </w:p>
        </w:tc>
        <w:tc>
          <w:tcPr>
            <w:tcW w:w="1490" w:type="dxa"/>
            <w:tcBorders>
              <w:left w:val="single" w:sz="8" w:space="0" w:color="7BA0CD" w:themeColor="accent1" w:themeTint="BF"/>
            </w:tcBorders>
            <w:vAlign w:val="center"/>
          </w:tcPr>
          <w:p w:rsidR="001505C5" w:rsidRPr="00C83B71" w:rsidRDefault="001505C5" w:rsidP="00DD3FF9">
            <w:pPr>
              <w:jc w:val="center"/>
              <w:cnfStyle w:val="000000010000" w:firstRow="0" w:lastRow="0" w:firstColumn="0" w:lastColumn="0" w:oddVBand="0" w:evenVBand="0" w:oddHBand="0" w:evenHBand="1" w:firstRowFirstColumn="0" w:firstRowLastColumn="0" w:lastRowFirstColumn="0" w:lastRowLastColumn="0"/>
              <w:rPr>
                <w:b/>
                <w:sz w:val="20"/>
                <w:szCs w:val="20"/>
              </w:rPr>
            </w:pPr>
            <w:r>
              <w:rPr>
                <w:b/>
                <w:sz w:val="20"/>
                <w:szCs w:val="20"/>
              </w:rPr>
              <w:t>188 (61%)</w:t>
            </w:r>
          </w:p>
        </w:tc>
      </w:tr>
    </w:tbl>
    <w:p w:rsidR="001505C5" w:rsidRDefault="001505C5" w:rsidP="001505C5">
      <w:pPr>
        <w:spacing w:after="0" w:line="240" w:lineRule="auto"/>
        <w:rPr>
          <w:b/>
          <w:sz w:val="20"/>
          <w:szCs w:val="20"/>
          <w:u w:val="single"/>
        </w:rPr>
      </w:pPr>
    </w:p>
    <w:p w:rsidR="001505C5" w:rsidRDefault="001505C5" w:rsidP="001505C5">
      <w:pPr>
        <w:spacing w:after="0" w:line="240" w:lineRule="auto"/>
        <w:ind w:left="360"/>
        <w:rPr>
          <w:sz w:val="20"/>
          <w:szCs w:val="20"/>
          <w:highlight w:val="yellow"/>
          <w:u w:val="single"/>
        </w:rPr>
      </w:pPr>
    </w:p>
    <w:p w:rsidR="001505C5" w:rsidRPr="000B399F" w:rsidRDefault="001505C5" w:rsidP="001505C5">
      <w:pPr>
        <w:spacing w:after="0"/>
        <w:rPr>
          <w:b/>
          <w:sz w:val="20"/>
          <w:szCs w:val="20"/>
          <w:u w:val="single"/>
        </w:rPr>
      </w:pPr>
      <w:r w:rsidRPr="000B399F">
        <w:rPr>
          <w:b/>
          <w:sz w:val="20"/>
          <w:szCs w:val="20"/>
          <w:u w:val="single"/>
        </w:rPr>
        <w:t>Recommendations based on evaluation findings:</w:t>
      </w:r>
    </w:p>
    <w:p w:rsidR="001505C5" w:rsidRPr="000B399F" w:rsidRDefault="001505C5" w:rsidP="001505C5">
      <w:pPr>
        <w:pStyle w:val="ListParagraph"/>
        <w:numPr>
          <w:ilvl w:val="0"/>
          <w:numId w:val="1"/>
        </w:numPr>
        <w:spacing w:line="240" w:lineRule="auto"/>
        <w:ind w:left="360"/>
        <w:rPr>
          <w:sz w:val="20"/>
          <w:szCs w:val="20"/>
        </w:rPr>
      </w:pPr>
      <w:r>
        <w:rPr>
          <w:sz w:val="20"/>
          <w:szCs w:val="20"/>
        </w:rPr>
        <w:t>If possible, rapid-</w:t>
      </w:r>
      <w:r w:rsidRPr="000B399F">
        <w:rPr>
          <w:sz w:val="20"/>
          <w:szCs w:val="20"/>
        </w:rPr>
        <w:t>fire sessions and possibly some anticipated popular infectious disease and surveillance sessions should be in the largest rooms possible.</w:t>
      </w:r>
    </w:p>
    <w:p w:rsidR="001505C5" w:rsidRPr="000B399F" w:rsidRDefault="001505C5" w:rsidP="001505C5">
      <w:pPr>
        <w:pStyle w:val="ListParagraph"/>
        <w:numPr>
          <w:ilvl w:val="0"/>
          <w:numId w:val="1"/>
        </w:numPr>
        <w:spacing w:line="240" w:lineRule="auto"/>
        <w:ind w:left="360"/>
        <w:rPr>
          <w:sz w:val="20"/>
          <w:szCs w:val="20"/>
        </w:rPr>
      </w:pPr>
      <w:r w:rsidRPr="000B399F">
        <w:rPr>
          <w:sz w:val="20"/>
          <w:szCs w:val="20"/>
        </w:rPr>
        <w:t>Consider reducing the number of Chronic Disease and Cross Cutting sessions offered within any given time slot to potentially increase attendance at the sessions that are offered.</w:t>
      </w:r>
    </w:p>
    <w:p w:rsidR="001505C5" w:rsidRPr="000B399F" w:rsidRDefault="001505C5" w:rsidP="001505C5">
      <w:pPr>
        <w:pStyle w:val="ListParagraph"/>
        <w:numPr>
          <w:ilvl w:val="0"/>
          <w:numId w:val="1"/>
        </w:numPr>
        <w:spacing w:line="240" w:lineRule="auto"/>
        <w:ind w:left="360"/>
        <w:rPr>
          <w:sz w:val="20"/>
          <w:szCs w:val="20"/>
        </w:rPr>
      </w:pPr>
      <w:r w:rsidRPr="000B399F">
        <w:rPr>
          <w:sz w:val="20"/>
          <w:szCs w:val="20"/>
        </w:rPr>
        <w:t>Roundtables where position statements are discussed are very popular and reduce the amount of time needed during the position statement time on Wednesday, consider adding more of these.</w:t>
      </w:r>
    </w:p>
    <w:p w:rsidR="001505C5" w:rsidRPr="000B399F" w:rsidRDefault="001505C5" w:rsidP="001505C5">
      <w:pPr>
        <w:pStyle w:val="ListParagraph"/>
        <w:numPr>
          <w:ilvl w:val="0"/>
          <w:numId w:val="1"/>
        </w:numPr>
        <w:spacing w:line="240" w:lineRule="auto"/>
        <w:ind w:left="360"/>
        <w:rPr>
          <w:sz w:val="20"/>
          <w:szCs w:val="20"/>
        </w:rPr>
      </w:pPr>
      <w:r w:rsidRPr="000B399F">
        <w:rPr>
          <w:sz w:val="20"/>
          <w:szCs w:val="20"/>
        </w:rPr>
        <w:t xml:space="preserve">The mobile app is very </w:t>
      </w:r>
      <w:proofErr w:type="gramStart"/>
      <w:r w:rsidRPr="000B399F">
        <w:rPr>
          <w:sz w:val="20"/>
          <w:szCs w:val="20"/>
        </w:rPr>
        <w:t>popular,</w:t>
      </w:r>
      <w:proofErr w:type="gramEnd"/>
      <w:r w:rsidRPr="000B399F">
        <w:rPr>
          <w:sz w:val="20"/>
          <w:szCs w:val="20"/>
        </w:rPr>
        <w:t xml:space="preserve"> one suggestion is to consider adding room numbers throughout the descriptions even down to the abstract page.</w:t>
      </w:r>
    </w:p>
    <w:p w:rsidR="001505C5" w:rsidRDefault="001505C5" w:rsidP="001505C5">
      <w:pPr>
        <w:pStyle w:val="ListParagraph"/>
        <w:numPr>
          <w:ilvl w:val="0"/>
          <w:numId w:val="1"/>
        </w:numPr>
        <w:spacing w:line="240" w:lineRule="auto"/>
        <w:ind w:left="360"/>
        <w:rPr>
          <w:sz w:val="20"/>
          <w:szCs w:val="20"/>
        </w:rPr>
      </w:pPr>
      <w:r w:rsidRPr="000B399F">
        <w:rPr>
          <w:sz w:val="20"/>
          <w:szCs w:val="20"/>
        </w:rPr>
        <w:t>Participants are receptive to sponsored events as long as their privacy is protected and contact information is not provided to the vendor, most receptiveness centered on food sponsorship.</w:t>
      </w:r>
    </w:p>
    <w:p w:rsidR="001505C5" w:rsidRDefault="001505C5" w:rsidP="001505C5">
      <w:pPr>
        <w:pStyle w:val="ListParagraph"/>
        <w:numPr>
          <w:ilvl w:val="0"/>
          <w:numId w:val="1"/>
        </w:numPr>
        <w:spacing w:line="240" w:lineRule="auto"/>
        <w:ind w:left="360"/>
        <w:rPr>
          <w:sz w:val="20"/>
          <w:szCs w:val="20"/>
        </w:rPr>
      </w:pPr>
      <w:r>
        <w:rPr>
          <w:sz w:val="20"/>
          <w:szCs w:val="20"/>
        </w:rPr>
        <w:t>While participants still want the hardcopy agenda, there are several sections that participants do not use in the agenda as it is printed now.  It is possible to cut or minimize these areas (the RWJF award information, maps of the location, the Sunday agenda) and reduce the overall length of the hardcopy.</w:t>
      </w:r>
    </w:p>
    <w:p w:rsidR="001505C5" w:rsidRDefault="001505C5" w:rsidP="001505C5">
      <w:pPr>
        <w:pStyle w:val="ListParagraph"/>
        <w:numPr>
          <w:ilvl w:val="0"/>
          <w:numId w:val="1"/>
        </w:numPr>
        <w:spacing w:line="240" w:lineRule="auto"/>
        <w:ind w:left="360"/>
        <w:rPr>
          <w:sz w:val="20"/>
          <w:szCs w:val="20"/>
        </w:rPr>
      </w:pPr>
      <w:r>
        <w:rPr>
          <w:sz w:val="20"/>
          <w:szCs w:val="20"/>
        </w:rPr>
        <w:t>Participants would like to see more diversity (demographically) among the plenary and banquet speakers.</w:t>
      </w:r>
    </w:p>
    <w:p w:rsidR="001505C5" w:rsidRDefault="001505C5" w:rsidP="001505C5">
      <w:pPr>
        <w:pStyle w:val="ListParagraph"/>
        <w:numPr>
          <w:ilvl w:val="0"/>
          <w:numId w:val="1"/>
        </w:numPr>
        <w:spacing w:line="240" w:lineRule="auto"/>
        <w:ind w:left="360"/>
        <w:rPr>
          <w:sz w:val="20"/>
          <w:szCs w:val="20"/>
        </w:rPr>
      </w:pPr>
      <w:r>
        <w:rPr>
          <w:sz w:val="20"/>
          <w:szCs w:val="20"/>
        </w:rPr>
        <w:t>The pocket agenda was very popular this year.  Keeping this format for the pocket agenda (slightly larger and more book-like rather than fold out) is recommended.</w:t>
      </w:r>
    </w:p>
    <w:p w:rsidR="001505C5" w:rsidRDefault="001505C5" w:rsidP="001505C5">
      <w:pPr>
        <w:pStyle w:val="ListParagraph"/>
        <w:numPr>
          <w:ilvl w:val="0"/>
          <w:numId w:val="1"/>
        </w:numPr>
        <w:spacing w:line="240" w:lineRule="auto"/>
        <w:ind w:left="360"/>
        <w:rPr>
          <w:sz w:val="20"/>
          <w:szCs w:val="20"/>
        </w:rPr>
      </w:pPr>
      <w:r>
        <w:rPr>
          <w:sz w:val="20"/>
          <w:szCs w:val="20"/>
        </w:rPr>
        <w:t>Both pilot sessions (rapid fire and poster rounds) were very popular and should be included in future conferences.</w:t>
      </w:r>
    </w:p>
    <w:p w:rsidR="001505C5" w:rsidRPr="000B399F" w:rsidRDefault="001505C5" w:rsidP="001505C5">
      <w:pPr>
        <w:pStyle w:val="ListParagraph"/>
        <w:numPr>
          <w:ilvl w:val="0"/>
          <w:numId w:val="1"/>
        </w:numPr>
        <w:spacing w:line="240" w:lineRule="auto"/>
        <w:ind w:left="360"/>
        <w:rPr>
          <w:sz w:val="20"/>
          <w:szCs w:val="20"/>
        </w:rPr>
      </w:pPr>
      <w:r>
        <w:rPr>
          <w:sz w:val="20"/>
          <w:szCs w:val="20"/>
        </w:rPr>
        <w:t>For future conferences, offering the poster round session during one of the roundtable blocks will allow for a longer time period for review and discussion of the posters.</w:t>
      </w:r>
    </w:p>
    <w:p w:rsidR="00C211E8" w:rsidRDefault="00C211E8"/>
    <w:sectPr w:rsidR="00C211E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81F" w:rsidRDefault="005E481F" w:rsidP="001505C5">
      <w:pPr>
        <w:spacing w:after="0" w:line="240" w:lineRule="auto"/>
      </w:pPr>
      <w:r>
        <w:separator/>
      </w:r>
    </w:p>
  </w:endnote>
  <w:endnote w:type="continuationSeparator" w:id="0">
    <w:p w:rsidR="005E481F" w:rsidRDefault="005E481F" w:rsidP="001505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81F" w:rsidRDefault="005E481F" w:rsidP="001505C5">
      <w:pPr>
        <w:spacing w:after="0" w:line="240" w:lineRule="auto"/>
      </w:pPr>
      <w:r>
        <w:separator/>
      </w:r>
    </w:p>
  </w:footnote>
  <w:footnote w:type="continuationSeparator" w:id="0">
    <w:p w:rsidR="005E481F" w:rsidRDefault="005E481F" w:rsidP="001505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79008B"/>
    <w:multiLevelType w:val="hybridMultilevel"/>
    <w:tmpl w:val="EBF82F20"/>
    <w:lvl w:ilvl="0" w:tplc="FD10E8DA">
      <w:start w:val="1"/>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EDD1C5D"/>
    <w:multiLevelType w:val="hybridMultilevel"/>
    <w:tmpl w:val="93BE42E2"/>
    <w:lvl w:ilvl="0" w:tplc="FD10E8DA">
      <w:start w:val="1"/>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06C1F87"/>
    <w:multiLevelType w:val="hybridMultilevel"/>
    <w:tmpl w:val="89A4BE44"/>
    <w:lvl w:ilvl="0" w:tplc="FD10E8DA">
      <w:start w:val="1"/>
      <w:numFmt w:val="bullet"/>
      <w:lvlText w:val=""/>
      <w:lvlJc w:val="left"/>
      <w:pPr>
        <w:ind w:left="1080" w:hanging="360"/>
      </w:pPr>
      <w:rPr>
        <w:rFonts w:ascii="Symbol" w:eastAsiaTheme="minorHAnsi" w:hAnsi="Symbol"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95C46C9"/>
    <w:multiLevelType w:val="hybridMultilevel"/>
    <w:tmpl w:val="9EA81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05C5"/>
    <w:rsid w:val="001505C5"/>
    <w:rsid w:val="005E481F"/>
    <w:rsid w:val="00C211E8"/>
    <w:rsid w:val="00FD3D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5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5C5"/>
    <w:pPr>
      <w:ind w:left="720"/>
      <w:contextualSpacing/>
    </w:pPr>
  </w:style>
  <w:style w:type="table" w:styleId="MediumShading1-Accent1">
    <w:name w:val="Medium Shading 1 Accent 1"/>
    <w:basedOn w:val="TableNormal"/>
    <w:uiPriority w:val="63"/>
    <w:rsid w:val="001505C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150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5C5"/>
  </w:style>
  <w:style w:type="paragraph" w:styleId="Footer">
    <w:name w:val="footer"/>
    <w:basedOn w:val="Normal"/>
    <w:link w:val="FooterChar"/>
    <w:uiPriority w:val="99"/>
    <w:unhideWhenUsed/>
    <w:rsid w:val="00150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5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505C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05C5"/>
    <w:pPr>
      <w:ind w:left="720"/>
      <w:contextualSpacing/>
    </w:pPr>
  </w:style>
  <w:style w:type="table" w:styleId="MediumShading1-Accent1">
    <w:name w:val="Medium Shading 1 Accent 1"/>
    <w:basedOn w:val="TableNormal"/>
    <w:uiPriority w:val="63"/>
    <w:rsid w:val="001505C5"/>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Header">
    <w:name w:val="header"/>
    <w:basedOn w:val="Normal"/>
    <w:link w:val="HeaderChar"/>
    <w:uiPriority w:val="99"/>
    <w:unhideWhenUsed/>
    <w:rsid w:val="001505C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505C5"/>
  </w:style>
  <w:style w:type="paragraph" w:styleId="Footer">
    <w:name w:val="footer"/>
    <w:basedOn w:val="Normal"/>
    <w:link w:val="FooterChar"/>
    <w:uiPriority w:val="99"/>
    <w:unhideWhenUsed/>
    <w:rsid w:val="001505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505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858</Words>
  <Characters>4896</Characters>
  <Application>Microsoft Office Word</Application>
  <DocSecurity>0</DocSecurity>
  <Lines>40</Lines>
  <Paragraphs>11</Paragraphs>
  <ScaleCrop>false</ScaleCrop>
  <Company>Microsoft</Company>
  <LinksUpToDate>false</LinksUpToDate>
  <CharactersWithSpaces>5743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Virginia Dick</dc:creator>
  <cp:lastModifiedBy>Virginia Dick</cp:lastModifiedBy>
  <cp:revision>1</cp:revision>
  <dcterms:created xsi:type="dcterms:W3CDTF">2014-08-12T15:28:00Z</dcterms:created>
  <dcterms:modified xsi:type="dcterms:W3CDTF">2014-08-12T15:30:00Z</dcterms:modified>
</cp:coreProperties>
</file>