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A95" w:rsidRDefault="00C11A95" w:rsidP="00D433B4">
      <w:pPr>
        <w:rPr>
          <w:b/>
        </w:rPr>
      </w:pPr>
      <w:r w:rsidRPr="00D433B4">
        <w:rPr>
          <w:b/>
        </w:rPr>
        <w:t>State health agencies</w:t>
      </w:r>
      <w:r w:rsidRPr="00393513">
        <w:rPr>
          <w:b/>
        </w:rPr>
        <w:t>’</w:t>
      </w:r>
      <w:r w:rsidRPr="00D433B4">
        <w:rPr>
          <w:b/>
        </w:rPr>
        <w:t xml:space="preserve"> access to state Workers</w:t>
      </w:r>
      <w:r w:rsidRPr="00393513">
        <w:rPr>
          <w:b/>
        </w:rPr>
        <w:t>’</w:t>
      </w:r>
      <w:r w:rsidRPr="00D433B4">
        <w:rPr>
          <w:b/>
        </w:rPr>
        <w:t xml:space="preserve"> Compensation data: Results of an assessment conducted by the Council of State and Territorial Epidemiologists, 2012</w:t>
      </w:r>
    </w:p>
    <w:p w:rsidR="00C11A95" w:rsidRPr="00D433B4" w:rsidRDefault="00C11A95" w:rsidP="00D433B4">
      <w:pPr>
        <w:rPr>
          <w:b/>
        </w:rPr>
      </w:pPr>
    </w:p>
    <w:p w:rsidR="00C11A95" w:rsidRDefault="00C11A95" w:rsidP="00E944CA">
      <w:r>
        <w:t>Letitia Davis</w:t>
      </w:r>
      <w:r w:rsidR="00AA66BE">
        <w:t>, Sc.</w:t>
      </w:r>
      <w:r>
        <w:t>D</w:t>
      </w:r>
      <w:r w:rsidR="00AA66BE">
        <w:t>.</w:t>
      </w:r>
      <w:r w:rsidRPr="00A7093C">
        <w:rPr>
          <w:vertAlign w:val="superscript"/>
        </w:rPr>
        <w:t>§</w:t>
      </w:r>
      <w:r>
        <w:t>,</w:t>
      </w:r>
      <w:r w:rsidRPr="00E569EB">
        <w:t xml:space="preserve"> Kenneth</w:t>
      </w:r>
      <w:r>
        <w:t xml:space="preserve"> D. Rosenman, MD</w:t>
      </w:r>
      <w:r w:rsidRPr="00A7093C">
        <w:rPr>
          <w:vertAlign w:val="superscript"/>
        </w:rPr>
        <w:t>#</w:t>
      </w:r>
      <w:r>
        <w:t>,</w:t>
      </w:r>
      <w:r w:rsidRPr="00E569EB">
        <w:t xml:space="preserve"> </w:t>
      </w:r>
      <w:r w:rsidRPr="00A64192">
        <w:t>Glenn Shor,</w:t>
      </w:r>
      <w:r w:rsidR="00A64192" w:rsidRPr="00A64192">
        <w:t xml:space="preserve"> Ph</w:t>
      </w:r>
      <w:r w:rsidR="001202F8">
        <w:t>.</w:t>
      </w:r>
      <w:r w:rsidR="00A64192" w:rsidRPr="00A64192">
        <w:t>D</w:t>
      </w:r>
      <w:r w:rsidR="001202F8">
        <w:t>.</w:t>
      </w:r>
      <w:r w:rsidRPr="00A64192">
        <w:rPr>
          <w:vertAlign w:val="superscript"/>
        </w:rPr>
        <w:t>*</w:t>
      </w:r>
      <w:r w:rsidR="00A64192">
        <w:t>, E</w:t>
      </w:r>
      <w:r w:rsidRPr="00A64192">
        <w:t>rin</w:t>
      </w:r>
      <w:r w:rsidRPr="00E569EB">
        <w:t xml:space="preserve"> Simms, MPH</w:t>
      </w:r>
      <w:r w:rsidRPr="00A7093C">
        <w:rPr>
          <w:vertAlign w:val="superscript"/>
        </w:rPr>
        <w:t>†</w:t>
      </w:r>
      <w:r w:rsidRPr="00E569EB">
        <w:t xml:space="preserve">, </w:t>
      </w:r>
    </w:p>
    <w:p w:rsidR="00C11A95" w:rsidRDefault="00C11A95" w:rsidP="00E944CA">
      <w:pPr>
        <w:rPr>
          <w:sz w:val="20"/>
          <w:szCs w:val="20"/>
        </w:rPr>
      </w:pPr>
      <w:r w:rsidRPr="00E569EB">
        <w:rPr>
          <w:vertAlign w:val="superscript"/>
        </w:rPr>
        <w:t>§</w:t>
      </w:r>
      <w:r w:rsidRPr="00A7093C">
        <w:rPr>
          <w:sz w:val="20"/>
          <w:szCs w:val="20"/>
        </w:rPr>
        <w:t xml:space="preserve">Massachusetts Department of Public Health, </w:t>
      </w:r>
      <w:r w:rsidRPr="00A64192">
        <w:rPr>
          <w:vertAlign w:val="superscript"/>
        </w:rPr>
        <w:t>*</w:t>
      </w:r>
      <w:r w:rsidR="00A64192">
        <w:rPr>
          <w:sz w:val="20"/>
          <w:szCs w:val="20"/>
        </w:rPr>
        <w:t>California Department of Industrial Relations,</w:t>
      </w:r>
      <w:r>
        <w:rPr>
          <w:vertAlign w:val="superscript"/>
        </w:rPr>
        <w:t xml:space="preserve"> </w:t>
      </w:r>
      <w:r w:rsidRPr="00E569EB">
        <w:rPr>
          <w:vertAlign w:val="superscript"/>
        </w:rPr>
        <w:t>#</w:t>
      </w:r>
      <w:r w:rsidRPr="00A7093C">
        <w:rPr>
          <w:sz w:val="20"/>
          <w:szCs w:val="20"/>
        </w:rPr>
        <w:t xml:space="preserve">Michigan State University, </w:t>
      </w:r>
      <w:r w:rsidRPr="00E569EB">
        <w:rPr>
          <w:vertAlign w:val="superscript"/>
        </w:rPr>
        <w:t>†</w:t>
      </w:r>
      <w:r w:rsidRPr="00A7093C">
        <w:rPr>
          <w:sz w:val="20"/>
          <w:szCs w:val="20"/>
        </w:rPr>
        <w:t>Council of State and Territorial Epidemiologists</w:t>
      </w:r>
    </w:p>
    <w:p w:rsidR="00C11A95" w:rsidRPr="00A7093C" w:rsidRDefault="00C11A95" w:rsidP="00E944CA">
      <w:pPr>
        <w:rPr>
          <w:sz w:val="20"/>
          <w:szCs w:val="20"/>
        </w:rPr>
      </w:pPr>
    </w:p>
    <w:p w:rsidR="00C11A95" w:rsidRPr="00D433B4" w:rsidRDefault="00C11A95" w:rsidP="00865E09">
      <w:pPr>
        <w:rPr>
          <w:b/>
        </w:rPr>
      </w:pPr>
    </w:p>
    <w:p w:rsidR="00C11A95" w:rsidRPr="00D433B4" w:rsidRDefault="00C11A95" w:rsidP="00865E09">
      <w:pPr>
        <w:rPr>
          <w:b/>
          <w:color w:val="339966"/>
          <w:u w:val="single"/>
        </w:rPr>
      </w:pPr>
      <w:r w:rsidRPr="00D433B4">
        <w:rPr>
          <w:b/>
          <w:u w:val="single"/>
        </w:rPr>
        <w:t xml:space="preserve">Purpose </w:t>
      </w:r>
    </w:p>
    <w:p w:rsidR="00C11A95" w:rsidRPr="00D433B4" w:rsidRDefault="00C11A95" w:rsidP="0004430C">
      <w:r w:rsidRPr="00D433B4">
        <w:t>The Council of State and Territorial Epidemiologists (CSTE) has a cooperative agreement with the National Institute for Occupational Safety and Health (NIOSH) to help states build capacity to conduct surveillance of work-related illnesses and injuries. One potentially useful source of occupational health surveillance information is Workers</w:t>
      </w:r>
      <w:r w:rsidRPr="00393513">
        <w:t>’</w:t>
      </w:r>
      <w:r w:rsidRPr="00D433B4">
        <w:t xml:space="preserve"> Compensation (WC) claim data.</w:t>
      </w:r>
      <w:r w:rsidRPr="00393513">
        <w:rPr>
          <w:rStyle w:val="FootnoteReference"/>
        </w:rPr>
        <w:footnoteReference w:id="1"/>
      </w:r>
      <w:r w:rsidRPr="00D433B4">
        <w:t xml:space="preserve"> To learn more about whether state public health departments have access to WC data for surveillance purposes and the type of data they have access to, CSTE conducted a brief assessment of health departments in the states. The assessment findings will help CSTE plan future efforts to increase state capacity to use WC claim data for surveillance of work-related injuries and illnesses. </w:t>
      </w:r>
    </w:p>
    <w:p w:rsidR="00C11A95" w:rsidRPr="00D433B4" w:rsidRDefault="00C11A95" w:rsidP="0004430C"/>
    <w:p w:rsidR="00C11A95" w:rsidRPr="00D433B4" w:rsidRDefault="00C11A95" w:rsidP="00865E09">
      <w:pPr>
        <w:rPr>
          <w:color w:val="008080"/>
          <w:u w:val="single"/>
        </w:rPr>
      </w:pPr>
      <w:r w:rsidRPr="00D433B4">
        <w:rPr>
          <w:b/>
          <w:u w:val="single"/>
        </w:rPr>
        <w:t>Methods</w:t>
      </w:r>
      <w:r w:rsidRPr="00D433B4">
        <w:rPr>
          <w:color w:val="008080"/>
          <w:u w:val="single"/>
        </w:rPr>
        <w:t xml:space="preserve"> </w:t>
      </w:r>
    </w:p>
    <w:p w:rsidR="00C11A95" w:rsidRDefault="00C11A95" w:rsidP="006D7F7E">
      <w:pPr>
        <w:rPr>
          <w:color w:val="008080"/>
        </w:rPr>
      </w:pPr>
      <w:r w:rsidRPr="00D433B4">
        <w:t>In March</w:t>
      </w:r>
      <w:r>
        <w:t>,</w:t>
      </w:r>
      <w:r w:rsidRPr="00D433B4">
        <w:t xml:space="preserve"> 2012, a workgroup comprised </w:t>
      </w:r>
      <w:r>
        <w:t>of representatives from CSTE with input from</w:t>
      </w:r>
      <w:r w:rsidRPr="00D433B4">
        <w:t xml:space="preserve"> OSHA developed the CSTE Assessment of State Public Health Department Access to State Workers' Compensation Data. A pilot questionnaire was administered to three states and edited as indicated. The final assessment included 27 individual questions regarding data access, the type of data accessed, the format of the dataset, use of the data, and any barriers or restrictions placed on state WC claims data available to the public health department.</w:t>
      </w:r>
      <w:r>
        <w:rPr>
          <w:color w:val="008080"/>
        </w:rPr>
        <w:t xml:space="preserve">   </w:t>
      </w:r>
    </w:p>
    <w:p w:rsidR="00C11A95" w:rsidRPr="00D433B4" w:rsidRDefault="00C11A95" w:rsidP="00630504"/>
    <w:p w:rsidR="00C11A95" w:rsidRPr="00D433B4" w:rsidRDefault="00C11A95" w:rsidP="00630504">
      <w:r w:rsidRPr="00D433B4">
        <w:t xml:space="preserve">The assessment was made available to all 50 states and the </w:t>
      </w:r>
      <w:smartTag w:uri="urn:schemas-microsoft-com:office:smarttags" w:element="place">
        <w:r w:rsidRPr="00D433B4">
          <w:t>District of Columbia</w:t>
        </w:r>
      </w:smartTag>
      <w:r w:rsidRPr="00D433B4">
        <w:t xml:space="preserve"> via a Web-based application on April 20, 2012 and remained open for completion for one month. The occupational health contact</w:t>
      </w:r>
      <w:r w:rsidRPr="00393513">
        <w:rPr>
          <w:rStyle w:val="FootnoteReference"/>
        </w:rPr>
        <w:footnoteReference w:id="2"/>
      </w:r>
      <w:r w:rsidRPr="00D433B4">
        <w:t xml:space="preserve"> in each jurisdiction served as the primary informant, although, where applicable, contacts were asked to refer the questionnaire to the person within their department most appropriate for completing the assessment. Thirty-eight jurisdictions completed the assessment. Follow-up was conducted in August 2012 with three jurisdictions to resolve inconsistencies. In this document, </w:t>
      </w:r>
      <w:r w:rsidRPr="00393513">
        <w:t>‘</w:t>
      </w:r>
      <w:r w:rsidRPr="00D433B4">
        <w:t>states</w:t>
      </w:r>
      <w:r w:rsidRPr="00393513">
        <w:t>’</w:t>
      </w:r>
      <w:r w:rsidRPr="00D433B4">
        <w:t xml:space="preserve"> and </w:t>
      </w:r>
      <w:r w:rsidRPr="00393513">
        <w:t>‘</w:t>
      </w:r>
      <w:r w:rsidRPr="00D433B4">
        <w:t>respondent</w:t>
      </w:r>
      <w:r w:rsidRPr="00393513">
        <w:t>’</w:t>
      </w:r>
      <w:r w:rsidRPr="00D433B4">
        <w:t xml:space="preserve"> refers to all 50 states as well as the </w:t>
      </w:r>
      <w:smartTag w:uri="urn:schemas-microsoft-com:office:smarttags" w:element="place">
        <w:r w:rsidRPr="00D433B4">
          <w:t>District of Columbia</w:t>
        </w:r>
      </w:smartTag>
      <w:r w:rsidRPr="00D433B4">
        <w:t>.</w:t>
      </w:r>
    </w:p>
    <w:p w:rsidR="00C11A95" w:rsidRPr="00D433B4" w:rsidRDefault="00C11A95" w:rsidP="00865E09">
      <w:pPr>
        <w:rPr>
          <w:b/>
          <w:color w:val="FF0000"/>
        </w:rPr>
      </w:pPr>
      <w:r w:rsidRPr="00393513">
        <w:rPr>
          <w:b/>
          <w:color w:val="FF0000"/>
        </w:rPr>
        <w:tab/>
      </w:r>
    </w:p>
    <w:p w:rsidR="00C11A95" w:rsidRPr="00D433B4" w:rsidRDefault="00C11A95" w:rsidP="005B3680">
      <w:pPr>
        <w:rPr>
          <w:u w:val="single"/>
        </w:rPr>
      </w:pPr>
      <w:r w:rsidRPr="00D433B4">
        <w:rPr>
          <w:b/>
          <w:u w:val="single"/>
        </w:rPr>
        <w:t>Results</w:t>
      </w:r>
    </w:p>
    <w:p w:rsidR="00C11A95" w:rsidRPr="00D433B4" w:rsidRDefault="00C11A95" w:rsidP="00ED47AB">
      <w:pPr>
        <w:rPr>
          <w:b/>
        </w:rPr>
      </w:pPr>
      <w:r w:rsidRPr="00D433B4">
        <w:lastRenderedPageBreak/>
        <w:t xml:space="preserve">Thirty-eight (75%) state health departments responded to the assessment. Percentages reported below are calculated using the 38 responding states as the denominator. </w:t>
      </w:r>
    </w:p>
    <w:p w:rsidR="00C11A95" w:rsidRPr="00D433B4" w:rsidRDefault="00C11A95" w:rsidP="00AF3868">
      <w:pPr>
        <w:rPr>
          <w:b/>
        </w:rPr>
      </w:pPr>
    </w:p>
    <w:p w:rsidR="00C11A95" w:rsidRPr="00D433B4" w:rsidRDefault="00C11A95" w:rsidP="00AF3868">
      <w:pPr>
        <w:rPr>
          <w:color w:val="008000"/>
        </w:rPr>
      </w:pPr>
      <w:r w:rsidRPr="00D433B4">
        <w:rPr>
          <w:b/>
        </w:rPr>
        <w:t>Access to electronic WC claim data</w:t>
      </w:r>
    </w:p>
    <w:p w:rsidR="00C11A95" w:rsidRPr="00D433B4" w:rsidRDefault="00C11A95" w:rsidP="005F3EC4">
      <w:r w:rsidRPr="00D433B4">
        <w:t>Eighteen state health departments (47% of respondents) indicated that they had access to an electronic database of WC claim data maintained by the state WC agency.</w:t>
      </w:r>
      <w:r w:rsidRPr="00393513">
        <w:rPr>
          <w:rStyle w:val="FootnoteReference"/>
        </w:rPr>
        <w:footnoteReference w:id="3"/>
      </w:r>
      <w:r w:rsidRPr="00D433B4">
        <w:t xml:space="preserve"> Of the 20 (53%) respondents that did not have access to an electronic database of WC claim data</w:t>
      </w:r>
      <w:r>
        <w:t>:</w:t>
      </w:r>
      <w:r w:rsidRPr="00DA7131">
        <w:rPr>
          <w:rStyle w:val="FootnoteReference"/>
        </w:rPr>
        <w:footnoteReference w:id="4"/>
      </w:r>
    </w:p>
    <w:p w:rsidR="00C11A95" w:rsidRPr="00D433B4" w:rsidRDefault="00C11A95" w:rsidP="000C0A58">
      <w:pPr>
        <w:numPr>
          <w:ilvl w:val="0"/>
          <w:numId w:val="1"/>
        </w:numPr>
        <w:tabs>
          <w:tab w:val="num" w:pos="-180"/>
        </w:tabs>
      </w:pPr>
      <w:r w:rsidRPr="00D433B4">
        <w:t>Seven states reported that they had not tried to access the data.</w:t>
      </w:r>
    </w:p>
    <w:p w:rsidR="00C11A95" w:rsidRPr="00D433B4" w:rsidRDefault="00C11A95" w:rsidP="000C0A58">
      <w:pPr>
        <w:numPr>
          <w:ilvl w:val="0"/>
          <w:numId w:val="1"/>
        </w:numPr>
        <w:tabs>
          <w:tab w:val="num" w:pos="-180"/>
        </w:tabs>
      </w:pPr>
      <w:r w:rsidRPr="00D433B4">
        <w:t xml:space="preserve">Three states reported that the WC agency did not maintain electronic records, but they have access to paper records. </w:t>
      </w:r>
    </w:p>
    <w:p w:rsidR="00C11A95" w:rsidRPr="00D433B4" w:rsidRDefault="00C11A95" w:rsidP="006A23C5">
      <w:pPr>
        <w:numPr>
          <w:ilvl w:val="0"/>
          <w:numId w:val="1"/>
        </w:numPr>
        <w:tabs>
          <w:tab w:val="num" w:pos="-180"/>
        </w:tabs>
      </w:pPr>
      <w:r w:rsidRPr="00D433B4">
        <w:t>Seven states reported that legal and confidentiality issues were barriers to accessing workers</w:t>
      </w:r>
      <w:r w:rsidRPr="00393513">
        <w:t>’</w:t>
      </w:r>
      <w:r w:rsidRPr="00D433B4">
        <w:t xml:space="preserve"> compensation claim data.</w:t>
      </w:r>
    </w:p>
    <w:p w:rsidR="00C11A95" w:rsidRPr="00D433B4" w:rsidRDefault="00C11A95" w:rsidP="00DA24F8">
      <w:pPr>
        <w:numPr>
          <w:ilvl w:val="0"/>
          <w:numId w:val="1"/>
        </w:numPr>
        <w:tabs>
          <w:tab w:val="num" w:pos="-180"/>
        </w:tabs>
      </w:pPr>
      <w:r w:rsidRPr="00D433B4">
        <w:t xml:space="preserve">Two states reported that other agencies maintain data and will provide information upon request; </w:t>
      </w:r>
    </w:p>
    <w:p w:rsidR="00C11A95" w:rsidRPr="00D433B4" w:rsidRDefault="00C11A95" w:rsidP="00DA24F8">
      <w:pPr>
        <w:numPr>
          <w:ilvl w:val="0"/>
          <w:numId w:val="1"/>
        </w:numPr>
        <w:tabs>
          <w:tab w:val="num" w:pos="-180"/>
        </w:tabs>
      </w:pPr>
      <w:r w:rsidRPr="00D433B4">
        <w:t xml:space="preserve">One state cited general data access issues as a barrier; and </w:t>
      </w:r>
    </w:p>
    <w:p w:rsidR="00C11A95" w:rsidRPr="00D433B4" w:rsidRDefault="00C11A95" w:rsidP="00DA24F8">
      <w:pPr>
        <w:numPr>
          <w:ilvl w:val="0"/>
          <w:numId w:val="1"/>
        </w:numPr>
        <w:tabs>
          <w:tab w:val="num" w:pos="-180"/>
        </w:tabs>
      </w:pPr>
      <w:r w:rsidRPr="00D433B4">
        <w:t xml:space="preserve">One state reported that another agency maintains the data and prefers to work on its own. </w:t>
      </w:r>
    </w:p>
    <w:p w:rsidR="00C11A95" w:rsidRPr="00D433B4" w:rsidRDefault="00C11A95" w:rsidP="001A00D8"/>
    <w:p w:rsidR="00C11A95" w:rsidRPr="00D433B4" w:rsidRDefault="00C11A95" w:rsidP="001A00D8">
      <w:r w:rsidRPr="00D433B4">
        <w:rPr>
          <w:b/>
        </w:rPr>
        <w:t>Type of WC data accessed</w:t>
      </w:r>
    </w:p>
    <w:p w:rsidR="00C11A95" w:rsidRPr="00D433B4" w:rsidRDefault="00C11A95" w:rsidP="000C0A58">
      <w:pPr>
        <w:numPr>
          <w:ilvl w:val="0"/>
          <w:numId w:val="2"/>
        </w:numPr>
        <w:tabs>
          <w:tab w:val="clear" w:pos="720"/>
          <w:tab w:val="num" w:pos="-360"/>
        </w:tabs>
      </w:pPr>
      <w:r w:rsidRPr="00D433B4">
        <w:t>Five (13%) state health departments reported having access to information about lost wage claims only.</w:t>
      </w:r>
    </w:p>
    <w:p w:rsidR="00C11A95" w:rsidRPr="00D433B4" w:rsidRDefault="00C11A95" w:rsidP="000C0A58">
      <w:pPr>
        <w:numPr>
          <w:ilvl w:val="0"/>
          <w:numId w:val="2"/>
        </w:numPr>
        <w:tabs>
          <w:tab w:val="clear" w:pos="720"/>
          <w:tab w:val="num" w:pos="-360"/>
        </w:tabs>
      </w:pPr>
      <w:r w:rsidRPr="00D433B4">
        <w:t>Twelve (32%) states reported having access to information about both lost wage and medical claim data.</w:t>
      </w:r>
      <w:r w:rsidRPr="00393513">
        <w:rPr>
          <w:rStyle w:val="FootnoteReference"/>
        </w:rPr>
        <w:footnoteReference w:id="5"/>
      </w:r>
      <w:r w:rsidRPr="00D433B4">
        <w:t xml:space="preserve"> </w:t>
      </w:r>
    </w:p>
    <w:p w:rsidR="00C11A95" w:rsidRPr="00D433B4" w:rsidRDefault="00C11A95" w:rsidP="000C0A58">
      <w:pPr>
        <w:numPr>
          <w:ilvl w:val="0"/>
          <w:numId w:val="2"/>
        </w:numPr>
        <w:tabs>
          <w:tab w:val="clear" w:pos="720"/>
          <w:tab w:val="num" w:pos="-360"/>
        </w:tabs>
      </w:pPr>
      <w:r w:rsidRPr="00D433B4">
        <w:t xml:space="preserve">One (3%) state did not know the types of claim data to which they had access.  </w:t>
      </w:r>
    </w:p>
    <w:p w:rsidR="00C11A95" w:rsidRPr="00D433B4" w:rsidRDefault="00C11A95" w:rsidP="00E177D6">
      <w:pPr>
        <w:ind w:left="1080"/>
        <w:rPr>
          <w:b/>
        </w:rPr>
      </w:pPr>
    </w:p>
    <w:p w:rsidR="00C11A95" w:rsidRPr="00D433B4" w:rsidRDefault="00C11A95" w:rsidP="00B8250F">
      <w:pPr>
        <w:rPr>
          <w:b/>
        </w:rPr>
      </w:pPr>
      <w:r w:rsidRPr="00D433B4">
        <w:rPr>
          <w:b/>
        </w:rPr>
        <w:t>Types of records accessed</w:t>
      </w:r>
    </w:p>
    <w:p w:rsidR="00C11A95" w:rsidRPr="00D433B4" w:rsidRDefault="00C11A95" w:rsidP="000C0A58">
      <w:pPr>
        <w:numPr>
          <w:ilvl w:val="0"/>
          <w:numId w:val="2"/>
        </w:numPr>
        <w:tabs>
          <w:tab w:val="clear" w:pos="720"/>
          <w:tab w:val="num" w:pos="-360"/>
        </w:tabs>
      </w:pPr>
      <w:r w:rsidRPr="00D433B4">
        <w:t>Thirteen (34%) state health departments reported having access to Employer First Reports of Injury. Among these, four states reported also having access to Physician First Reports.</w:t>
      </w:r>
    </w:p>
    <w:p w:rsidR="00C11A95" w:rsidRPr="00D433B4" w:rsidRDefault="00C11A95" w:rsidP="000C0A58">
      <w:pPr>
        <w:numPr>
          <w:ilvl w:val="0"/>
          <w:numId w:val="2"/>
        </w:numPr>
        <w:tabs>
          <w:tab w:val="clear" w:pos="720"/>
          <w:tab w:val="num" w:pos="-360"/>
        </w:tabs>
      </w:pPr>
      <w:r w:rsidRPr="00D433B4">
        <w:t>Five (13%) states did not know specifically from which records the information received is obtained.</w:t>
      </w:r>
    </w:p>
    <w:p w:rsidR="00C11A95" w:rsidRPr="00D433B4" w:rsidRDefault="00C11A95" w:rsidP="00F6185E">
      <w:r w:rsidRPr="00D433B4">
        <w:t xml:space="preserve">    </w:t>
      </w:r>
    </w:p>
    <w:p w:rsidR="00C11A95" w:rsidRPr="00D433B4" w:rsidRDefault="00C11A95" w:rsidP="005779B4">
      <w:pPr>
        <w:rPr>
          <w:b/>
        </w:rPr>
      </w:pPr>
      <w:r w:rsidRPr="00D433B4">
        <w:rPr>
          <w:b/>
        </w:rPr>
        <w:t>Claims filed vs. claims awarded</w:t>
      </w:r>
    </w:p>
    <w:p w:rsidR="00C11A95" w:rsidRPr="00D433B4" w:rsidRDefault="00C11A95" w:rsidP="000C0A58">
      <w:pPr>
        <w:numPr>
          <w:ilvl w:val="0"/>
          <w:numId w:val="20"/>
        </w:numPr>
        <w:tabs>
          <w:tab w:val="clear" w:pos="720"/>
          <w:tab w:val="num" w:pos="-360"/>
        </w:tabs>
      </w:pPr>
      <w:r w:rsidRPr="00D433B4">
        <w:t>Nine (24%) state health departments reported that they could differentiate between claims filed and claims awarded.</w:t>
      </w:r>
    </w:p>
    <w:p w:rsidR="00C11A95" w:rsidRPr="00D433B4" w:rsidRDefault="00C11A95" w:rsidP="000C0A58">
      <w:pPr>
        <w:numPr>
          <w:ilvl w:val="0"/>
          <w:numId w:val="3"/>
        </w:numPr>
        <w:tabs>
          <w:tab w:val="clear" w:pos="720"/>
          <w:tab w:val="num" w:pos="-360"/>
        </w:tabs>
      </w:pPr>
      <w:r w:rsidRPr="00D433B4">
        <w:t>Six (</w:t>
      </w:r>
      <w:r w:rsidRPr="00550520">
        <w:t>16</w:t>
      </w:r>
      <w:r w:rsidRPr="00D433B4">
        <w:t>%) states reported that they had information on all claims filed but did not have information on whether claims were awarded, pending or denied.</w:t>
      </w:r>
    </w:p>
    <w:p w:rsidR="00C11A95" w:rsidRPr="00D433B4" w:rsidRDefault="00C11A95" w:rsidP="000C0A58">
      <w:pPr>
        <w:numPr>
          <w:ilvl w:val="0"/>
          <w:numId w:val="3"/>
        </w:numPr>
        <w:tabs>
          <w:tab w:val="clear" w:pos="720"/>
          <w:tab w:val="num" w:pos="-360"/>
        </w:tabs>
      </w:pPr>
      <w:r w:rsidRPr="00D433B4">
        <w:t>Three (8%) states reported having data on awarded claims only.</w:t>
      </w:r>
    </w:p>
    <w:p w:rsidR="00C11A95" w:rsidRPr="00D433B4" w:rsidRDefault="00C11A95" w:rsidP="00D433B4">
      <w:pPr>
        <w:ind w:left="360"/>
      </w:pPr>
      <w:r w:rsidRPr="00A7093C">
        <w:lastRenderedPageBreak/>
        <w:t xml:space="preserve"> </w:t>
      </w:r>
    </w:p>
    <w:p w:rsidR="00C11A95" w:rsidRPr="00D433B4" w:rsidRDefault="00C11A95" w:rsidP="009E4A3D">
      <w:pPr>
        <w:rPr>
          <w:b/>
        </w:rPr>
      </w:pPr>
      <w:r w:rsidRPr="00D433B4">
        <w:rPr>
          <w:b/>
        </w:rPr>
        <w:t>Timeframe</w:t>
      </w:r>
    </w:p>
    <w:p w:rsidR="00C11A95" w:rsidRPr="00D433B4" w:rsidRDefault="00C11A95" w:rsidP="000C0A58">
      <w:pPr>
        <w:numPr>
          <w:ilvl w:val="0"/>
          <w:numId w:val="5"/>
        </w:numPr>
        <w:tabs>
          <w:tab w:val="clear" w:pos="720"/>
          <w:tab w:val="num" w:pos="-360"/>
        </w:tabs>
      </w:pPr>
      <w:r w:rsidRPr="00D433B4">
        <w:t>Two (5%) states reported having daily online access.</w:t>
      </w:r>
    </w:p>
    <w:p w:rsidR="00C11A95" w:rsidRPr="00D433B4" w:rsidRDefault="00C11A95" w:rsidP="000C0A58">
      <w:pPr>
        <w:numPr>
          <w:ilvl w:val="0"/>
          <w:numId w:val="5"/>
        </w:numPr>
        <w:tabs>
          <w:tab w:val="clear" w:pos="720"/>
          <w:tab w:val="num" w:pos="-360"/>
        </w:tabs>
      </w:pPr>
      <w:r w:rsidRPr="00D433B4">
        <w:t>Two (5%) states have weekly access.</w:t>
      </w:r>
    </w:p>
    <w:p w:rsidR="00C11A95" w:rsidRPr="00D433B4" w:rsidRDefault="00C11A95" w:rsidP="000C0A58">
      <w:pPr>
        <w:numPr>
          <w:ilvl w:val="0"/>
          <w:numId w:val="5"/>
        </w:numPr>
        <w:tabs>
          <w:tab w:val="clear" w:pos="720"/>
          <w:tab w:val="num" w:pos="-360"/>
        </w:tabs>
      </w:pPr>
      <w:r w:rsidRPr="00D433B4">
        <w:t>Two (5%) states have monthly access.</w:t>
      </w:r>
    </w:p>
    <w:p w:rsidR="00C11A95" w:rsidRPr="00D433B4" w:rsidRDefault="00C11A95" w:rsidP="000C0A58">
      <w:pPr>
        <w:numPr>
          <w:ilvl w:val="0"/>
          <w:numId w:val="5"/>
        </w:numPr>
        <w:tabs>
          <w:tab w:val="clear" w:pos="720"/>
          <w:tab w:val="num" w:pos="-360"/>
        </w:tabs>
      </w:pPr>
      <w:r w:rsidRPr="00D433B4">
        <w:t>One (3%) state has quarterly access.</w:t>
      </w:r>
    </w:p>
    <w:p w:rsidR="00C11A95" w:rsidRPr="00D433B4" w:rsidRDefault="00C11A95" w:rsidP="000C0A58">
      <w:pPr>
        <w:numPr>
          <w:ilvl w:val="0"/>
          <w:numId w:val="5"/>
        </w:numPr>
        <w:tabs>
          <w:tab w:val="clear" w:pos="720"/>
          <w:tab w:val="num" w:pos="-360"/>
        </w:tabs>
      </w:pPr>
      <w:r w:rsidRPr="00D433B4">
        <w:t xml:space="preserve">Three (8%) states have annual access. </w:t>
      </w:r>
    </w:p>
    <w:p w:rsidR="00C11A95" w:rsidRPr="00D433B4" w:rsidRDefault="00C11A95" w:rsidP="000C0A58">
      <w:pPr>
        <w:numPr>
          <w:ilvl w:val="0"/>
          <w:numId w:val="5"/>
        </w:numPr>
        <w:tabs>
          <w:tab w:val="clear" w:pos="720"/>
          <w:tab w:val="num" w:pos="-360"/>
        </w:tabs>
      </w:pPr>
      <w:r w:rsidRPr="00D433B4">
        <w:t>Eight (21%) states have access on request only.</w:t>
      </w:r>
    </w:p>
    <w:p w:rsidR="00C11A95" w:rsidRPr="00D433B4" w:rsidRDefault="00C11A95" w:rsidP="00485C24"/>
    <w:p w:rsidR="00C11A95" w:rsidRPr="00D433B4" w:rsidRDefault="00C11A95" w:rsidP="00485C24">
      <w:r w:rsidRPr="00D433B4">
        <w:t>One state with weekly and the one with quarterly access have access to claims only for targeted health conditions in these time frames but access to all claims annually. These states were categorized at the most timely point of access.</w:t>
      </w:r>
    </w:p>
    <w:p w:rsidR="00C11A95" w:rsidRPr="00D433B4" w:rsidRDefault="00C11A95" w:rsidP="00485C24"/>
    <w:p w:rsidR="00C11A95" w:rsidRPr="00D433B4" w:rsidRDefault="00C11A95" w:rsidP="00485C24">
      <w:r w:rsidRPr="00D433B4">
        <w:t>Several states with routinely scheduled access also reported being able to obtain additional data on request. One state noted that although they receive real time access to self-insured claims, these are not entered into the electronic database.</w:t>
      </w:r>
    </w:p>
    <w:p w:rsidR="00C11A95" w:rsidRPr="00D433B4" w:rsidRDefault="00C11A95" w:rsidP="001F497F">
      <w:pPr>
        <w:ind w:left="360"/>
      </w:pPr>
    </w:p>
    <w:p w:rsidR="00C11A95" w:rsidRPr="00D433B4" w:rsidRDefault="00C11A95" w:rsidP="00D06CE2">
      <w:pPr>
        <w:rPr>
          <w:b/>
        </w:rPr>
      </w:pPr>
      <w:r w:rsidRPr="00D433B4">
        <w:rPr>
          <w:b/>
        </w:rPr>
        <w:t>Data format</w:t>
      </w:r>
    </w:p>
    <w:p w:rsidR="00C11A95" w:rsidRPr="00D433B4" w:rsidRDefault="00C11A95" w:rsidP="000C0A58">
      <w:pPr>
        <w:numPr>
          <w:ilvl w:val="0"/>
          <w:numId w:val="6"/>
        </w:numPr>
        <w:tabs>
          <w:tab w:val="clear" w:pos="720"/>
          <w:tab w:val="num" w:pos="-360"/>
        </w:tabs>
      </w:pPr>
      <w:r w:rsidRPr="00D433B4">
        <w:t>Two (5%) states had online web-based access.</w:t>
      </w:r>
    </w:p>
    <w:p w:rsidR="00C11A95" w:rsidRPr="00D433B4" w:rsidRDefault="00C11A95" w:rsidP="000C0A58">
      <w:pPr>
        <w:numPr>
          <w:ilvl w:val="0"/>
          <w:numId w:val="6"/>
        </w:numPr>
        <w:tabs>
          <w:tab w:val="clear" w:pos="720"/>
          <w:tab w:val="num" w:pos="-360"/>
        </w:tabs>
      </w:pPr>
      <w:r w:rsidRPr="00D433B4">
        <w:t>Eight (21%) states received data through electronic transmission of files to the agency.</w:t>
      </w:r>
    </w:p>
    <w:p w:rsidR="00C11A95" w:rsidRPr="00D433B4" w:rsidRDefault="00C11A95" w:rsidP="000C0A58">
      <w:pPr>
        <w:numPr>
          <w:ilvl w:val="0"/>
          <w:numId w:val="6"/>
        </w:numPr>
        <w:tabs>
          <w:tab w:val="clear" w:pos="720"/>
          <w:tab w:val="num" w:pos="-360"/>
        </w:tabs>
      </w:pPr>
      <w:r w:rsidRPr="00D433B4">
        <w:t xml:space="preserve">Five (13%) states reported that the data are sent to the public health agency on CD </w:t>
      </w:r>
      <w:smartTag w:uri="urn:schemas-microsoft-com:office:smarttags" w:element="place">
        <w:r w:rsidRPr="00D433B4">
          <w:t>ROM.</w:t>
        </w:r>
      </w:smartTag>
    </w:p>
    <w:p w:rsidR="00C11A95" w:rsidRPr="00D433B4" w:rsidRDefault="00C11A95" w:rsidP="000C0A58">
      <w:pPr>
        <w:numPr>
          <w:ilvl w:val="0"/>
          <w:numId w:val="6"/>
        </w:numPr>
        <w:tabs>
          <w:tab w:val="clear" w:pos="720"/>
          <w:tab w:val="num" w:pos="-360"/>
        </w:tabs>
      </w:pPr>
      <w:r w:rsidRPr="00D433B4">
        <w:t xml:space="preserve">One (3%) state reported access only to paper reports of computer generated files. </w:t>
      </w:r>
    </w:p>
    <w:p w:rsidR="00C11A95" w:rsidRPr="00D433B4" w:rsidRDefault="00C11A95" w:rsidP="000C0A58">
      <w:pPr>
        <w:numPr>
          <w:ilvl w:val="0"/>
          <w:numId w:val="6"/>
        </w:numPr>
        <w:tabs>
          <w:tab w:val="clear" w:pos="720"/>
          <w:tab w:val="num" w:pos="-360"/>
        </w:tabs>
      </w:pPr>
      <w:r w:rsidRPr="00D433B4">
        <w:t xml:space="preserve">One (3%) state reported actively download data from state mainframe and one (3%) state received the data through a state data clearing house. </w:t>
      </w:r>
    </w:p>
    <w:p w:rsidR="00C11A95" w:rsidRPr="00D433B4" w:rsidRDefault="00C11A95" w:rsidP="00BE67AF">
      <w:pPr>
        <w:ind w:left="360"/>
      </w:pPr>
    </w:p>
    <w:p w:rsidR="00C11A95" w:rsidRPr="00D433B4" w:rsidRDefault="00C11A95" w:rsidP="005F3EC4">
      <w:r w:rsidRPr="00D433B4">
        <w:t xml:space="preserve">Some states reported receiving data in multiple modes. In those instances, these states are categorized by the fastest mode. For example if a state received data both by CD ROM and electronic transmission, this state is included in the electronic transmission category. </w:t>
      </w:r>
    </w:p>
    <w:p w:rsidR="00C11A95" w:rsidRPr="00D433B4" w:rsidRDefault="00C11A95" w:rsidP="00411173"/>
    <w:p w:rsidR="00C11A95" w:rsidRPr="00D433B4" w:rsidRDefault="00C11A95" w:rsidP="000C0A58">
      <w:pPr>
        <w:numPr>
          <w:ilvl w:val="0"/>
          <w:numId w:val="7"/>
        </w:numPr>
        <w:tabs>
          <w:tab w:val="clear" w:pos="1080"/>
          <w:tab w:val="num" w:pos="-360"/>
        </w:tabs>
        <w:ind w:left="720"/>
      </w:pPr>
      <w:r w:rsidRPr="00D433B4">
        <w:t>Fourteen (37%) states reported that data can be readily searched and analyzed.</w:t>
      </w:r>
    </w:p>
    <w:p w:rsidR="00C11A95" w:rsidRPr="00D433B4" w:rsidRDefault="00C11A95" w:rsidP="000C0A58">
      <w:pPr>
        <w:numPr>
          <w:ilvl w:val="0"/>
          <w:numId w:val="7"/>
        </w:numPr>
        <w:tabs>
          <w:tab w:val="clear" w:pos="1080"/>
          <w:tab w:val="num" w:pos="-360"/>
        </w:tabs>
        <w:ind w:left="720"/>
      </w:pPr>
      <w:r w:rsidRPr="00D433B4">
        <w:t>Four (11%) states reported that while some data can be readily searched and analyzed, other data is in scanned format only.</w:t>
      </w:r>
    </w:p>
    <w:p w:rsidR="00C11A95" w:rsidRPr="00D433B4" w:rsidRDefault="00C11A95" w:rsidP="000C0A58">
      <w:pPr>
        <w:numPr>
          <w:ilvl w:val="0"/>
          <w:numId w:val="7"/>
        </w:numPr>
        <w:tabs>
          <w:tab w:val="clear" w:pos="1080"/>
          <w:tab w:val="num" w:pos="-360"/>
        </w:tabs>
        <w:ind w:left="720"/>
      </w:pPr>
      <w:r w:rsidRPr="00D433B4">
        <w:t xml:space="preserve">No state reported access to data in scanned format only. </w:t>
      </w:r>
    </w:p>
    <w:p w:rsidR="00C11A95" w:rsidRPr="00D433B4" w:rsidRDefault="00C11A95" w:rsidP="001D797B">
      <w:pPr>
        <w:ind w:left="360"/>
      </w:pPr>
    </w:p>
    <w:p w:rsidR="00C11A95" w:rsidRPr="00D433B4" w:rsidRDefault="00C11A95" w:rsidP="0076457F">
      <w:pPr>
        <w:rPr>
          <w:b/>
        </w:rPr>
      </w:pPr>
      <w:r w:rsidRPr="00D433B4">
        <w:rPr>
          <w:b/>
        </w:rPr>
        <w:t xml:space="preserve">Restrictions on data access  </w:t>
      </w:r>
    </w:p>
    <w:p w:rsidR="00C11A95" w:rsidRPr="00D433B4" w:rsidRDefault="00C11A95" w:rsidP="000C0A58">
      <w:pPr>
        <w:numPr>
          <w:ilvl w:val="0"/>
          <w:numId w:val="8"/>
        </w:numPr>
        <w:tabs>
          <w:tab w:val="clear" w:pos="720"/>
          <w:tab w:val="num" w:pos="-360"/>
        </w:tabs>
      </w:pPr>
      <w:r w:rsidRPr="00D433B4">
        <w:t xml:space="preserve">One (3%) state reported having access to claim data only for conditions reportable to public health. </w:t>
      </w:r>
    </w:p>
    <w:p w:rsidR="00C11A95" w:rsidRPr="00D433B4" w:rsidRDefault="00C11A95" w:rsidP="00BA03A2">
      <w:pPr>
        <w:numPr>
          <w:ilvl w:val="0"/>
          <w:numId w:val="17"/>
        </w:numPr>
        <w:tabs>
          <w:tab w:val="num" w:pos="-360"/>
          <w:tab w:val="right" w:pos="720"/>
        </w:tabs>
      </w:pPr>
      <w:r w:rsidRPr="00D433B4">
        <w:t xml:space="preserve">Seventeen (45%) states reported access to claims for all health conditions. As noted above, in several states, the timeframe for accessing data on targeted conditions was more frequent.  One state reported getting personal identifiers for reportable conditions only. </w:t>
      </w:r>
      <w:r w:rsidRPr="00393513">
        <w:tab/>
      </w:r>
    </w:p>
    <w:p w:rsidR="00C11A95" w:rsidRPr="00D433B4" w:rsidRDefault="00C11A95" w:rsidP="008A386F"/>
    <w:p w:rsidR="00C11A95" w:rsidRPr="00717FB2" w:rsidRDefault="00C11A95" w:rsidP="009E274D">
      <w:pPr>
        <w:rPr>
          <w:b/>
        </w:rPr>
      </w:pPr>
      <w:r>
        <w:rPr>
          <w:b/>
        </w:rPr>
        <w:t>Interagency m</w:t>
      </w:r>
      <w:r w:rsidRPr="00717FB2">
        <w:rPr>
          <w:b/>
        </w:rPr>
        <w:t xml:space="preserve">emoranda of </w:t>
      </w:r>
      <w:r>
        <w:rPr>
          <w:b/>
        </w:rPr>
        <w:t>u</w:t>
      </w:r>
      <w:r w:rsidRPr="00717FB2">
        <w:rPr>
          <w:b/>
        </w:rPr>
        <w:t>nderstanding</w:t>
      </w:r>
    </w:p>
    <w:p w:rsidR="00C11A95" w:rsidRPr="00D433B4" w:rsidRDefault="00C11A95" w:rsidP="00A45EEA">
      <w:pPr>
        <w:numPr>
          <w:ilvl w:val="0"/>
          <w:numId w:val="24"/>
        </w:numPr>
        <w:tabs>
          <w:tab w:val="clear" w:pos="360"/>
          <w:tab w:val="num" w:pos="720"/>
        </w:tabs>
        <w:ind w:left="720"/>
      </w:pPr>
      <w:r w:rsidRPr="00D433B4">
        <w:lastRenderedPageBreak/>
        <w:t xml:space="preserve">Among the 18 state health agencies accessing WC data, 12 have memoranda of understanding with the WC agency, and 6 do not have memoranda of understanding.  </w:t>
      </w:r>
    </w:p>
    <w:p w:rsidR="00C11A95" w:rsidRPr="00D433B4" w:rsidRDefault="00C11A95" w:rsidP="009E274D"/>
    <w:p w:rsidR="00C11A95" w:rsidRPr="00D433B4" w:rsidRDefault="00C11A95" w:rsidP="009E274D">
      <w:r w:rsidRPr="00D433B4">
        <w:rPr>
          <w:b/>
        </w:rPr>
        <w:t xml:space="preserve">Restrictions on data use </w:t>
      </w:r>
    </w:p>
    <w:p w:rsidR="00C11A95" w:rsidRPr="00D433B4" w:rsidRDefault="00C11A95" w:rsidP="000C0A58">
      <w:pPr>
        <w:numPr>
          <w:ilvl w:val="0"/>
          <w:numId w:val="17"/>
        </w:numPr>
        <w:tabs>
          <w:tab w:val="clear" w:pos="720"/>
          <w:tab w:val="num" w:pos="-360"/>
        </w:tabs>
      </w:pPr>
      <w:r w:rsidRPr="00D433B4">
        <w:t xml:space="preserve">Ten states can use the WC data for aggregate data analysis only.  Three of these states reported specifically that they may not use the data for public health follow-up of workers or worksites or for referral to enforcement agencies. One of these reported that they receive neither worker nor employer identifiers.  </w:t>
      </w:r>
    </w:p>
    <w:p w:rsidR="00C11A95" w:rsidRPr="00D433B4" w:rsidRDefault="00C11A95" w:rsidP="000C0A58">
      <w:pPr>
        <w:numPr>
          <w:ilvl w:val="0"/>
          <w:numId w:val="17"/>
        </w:numPr>
        <w:tabs>
          <w:tab w:val="clear" w:pos="720"/>
          <w:tab w:val="num" w:pos="-360"/>
        </w:tabs>
      </w:pPr>
      <w:r w:rsidRPr="00D433B4">
        <w:t>Of the remaining eight states, two reported having no restrictions “other than HIPPA requirements” or “as long as appropriate authorities are contacted” and five</w:t>
      </w:r>
      <w:r>
        <w:t xml:space="preserve"> </w:t>
      </w:r>
      <w:r w:rsidRPr="00D433B4">
        <w:t>reported not being able to release the name of the worker either publically or to other agencies; three reported not being able to release the name of the employer publically and two of these could not release the name of the employer to other agencies.</w:t>
      </w:r>
    </w:p>
    <w:p w:rsidR="00C11A95" w:rsidRPr="00D433B4" w:rsidRDefault="00C11A95" w:rsidP="001D797B">
      <w:pPr>
        <w:ind w:left="360"/>
      </w:pPr>
    </w:p>
    <w:p w:rsidR="00C11A95" w:rsidRPr="00D433B4" w:rsidRDefault="00C11A95" w:rsidP="001D797B">
      <w:r w:rsidRPr="00D433B4">
        <w:rPr>
          <w:b/>
        </w:rPr>
        <w:t>WC agency review of reports</w:t>
      </w:r>
      <w:r w:rsidRPr="00D433B4">
        <w:t xml:space="preserve"> </w:t>
      </w:r>
    </w:p>
    <w:p w:rsidR="00C11A95" w:rsidRPr="00D433B4" w:rsidRDefault="00C11A95" w:rsidP="000C0A58">
      <w:pPr>
        <w:numPr>
          <w:ilvl w:val="0"/>
          <w:numId w:val="17"/>
        </w:numPr>
        <w:tabs>
          <w:tab w:val="clear" w:pos="720"/>
          <w:tab w:val="num" w:pos="-360"/>
        </w:tabs>
      </w:pPr>
      <w:r w:rsidRPr="00D433B4">
        <w:t xml:space="preserve">Four (11%) states reported that they may only publish summary data after review and approval by the WC agency.     </w:t>
      </w:r>
    </w:p>
    <w:p w:rsidR="00C11A95" w:rsidRPr="00D433B4" w:rsidRDefault="00C11A95" w:rsidP="009E274D"/>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rsidP="009E274D">
      <w:pPr>
        <w:rPr>
          <w:color w:val="339966"/>
        </w:rPr>
      </w:pPr>
    </w:p>
    <w:p w:rsidR="00C11A95" w:rsidRPr="00D433B4" w:rsidRDefault="00C11A95">
      <w:pPr>
        <w:rPr>
          <w:b/>
        </w:rPr>
      </w:pPr>
      <w:r w:rsidRPr="00393513">
        <w:rPr>
          <w:b/>
        </w:rPr>
        <w:br w:type="page"/>
      </w:r>
      <w:r w:rsidRPr="00A7093C">
        <w:rPr>
          <w:b/>
        </w:rPr>
        <w:lastRenderedPageBreak/>
        <w:t xml:space="preserve">Data elements to which state health agencies have access in WC data sets </w:t>
      </w:r>
    </w:p>
    <w:p w:rsidR="00C11A95" w:rsidRPr="00D433B4" w:rsidRDefault="00C11A95" w:rsidP="009E274D"/>
    <w:tbl>
      <w:tblPr>
        <w:tblW w:w="0" w:type="auto"/>
        <w:tblLook w:val="01E0"/>
      </w:tblPr>
      <w:tblGrid>
        <w:gridCol w:w="5328"/>
        <w:gridCol w:w="1260"/>
        <w:gridCol w:w="2160"/>
      </w:tblGrid>
      <w:tr w:rsidR="00C11A95" w:rsidRPr="009D7FB3" w:rsidTr="007B737D">
        <w:trPr>
          <w:trHeight w:val="332"/>
        </w:trPr>
        <w:tc>
          <w:tcPr>
            <w:tcW w:w="8748" w:type="dxa"/>
            <w:gridSpan w:val="3"/>
            <w:tcBorders>
              <w:top w:val="single" w:sz="4" w:space="0" w:color="auto"/>
              <w:left w:val="single" w:sz="4" w:space="0" w:color="auto"/>
              <w:bottom w:val="single" w:sz="4" w:space="0" w:color="auto"/>
              <w:right w:val="single" w:sz="4" w:space="0" w:color="auto"/>
            </w:tcBorders>
            <w:shd w:val="clear" w:color="auto" w:fill="CCCCCC"/>
          </w:tcPr>
          <w:p w:rsidR="00C11A95" w:rsidRPr="009D78D8" w:rsidRDefault="00C11A95" w:rsidP="00BA4492">
            <w:pPr>
              <w:jc w:val="center"/>
              <w:rPr>
                <w:b/>
              </w:rPr>
            </w:pPr>
            <w:r w:rsidRPr="009D78D8">
              <w:rPr>
                <w:b/>
                <w:sz w:val="22"/>
                <w:szCs w:val="22"/>
              </w:rPr>
              <w:t xml:space="preserve">Table </w:t>
            </w:r>
            <w:r>
              <w:rPr>
                <w:b/>
                <w:sz w:val="22"/>
                <w:szCs w:val="22"/>
              </w:rPr>
              <w:t>1. Data elements to which state public health agencies</w:t>
            </w:r>
            <w:r w:rsidRPr="009D78D8">
              <w:rPr>
                <w:b/>
                <w:sz w:val="22"/>
                <w:szCs w:val="22"/>
              </w:rPr>
              <w:t xml:space="preserve"> have access in WC data sets</w:t>
            </w:r>
          </w:p>
        </w:tc>
      </w:tr>
      <w:tr w:rsidR="00C11A95" w:rsidRPr="009D7FB3" w:rsidTr="007B737D">
        <w:trPr>
          <w:trHeight w:val="530"/>
        </w:trPr>
        <w:tc>
          <w:tcPr>
            <w:tcW w:w="5328" w:type="dxa"/>
            <w:tcBorders>
              <w:top w:val="single" w:sz="4" w:space="0" w:color="auto"/>
              <w:left w:val="single" w:sz="4" w:space="0" w:color="auto"/>
              <w:bottom w:val="single" w:sz="4" w:space="0" w:color="auto"/>
            </w:tcBorders>
          </w:tcPr>
          <w:p w:rsidR="00C11A95" w:rsidRPr="00D433B4" w:rsidRDefault="00C11A95" w:rsidP="007B737D">
            <w:pPr>
              <w:keepNext/>
              <w:keepLines/>
              <w:outlineLvl w:val="0"/>
              <w:rPr>
                <w:b/>
                <w:sz w:val="20"/>
              </w:rPr>
            </w:pPr>
            <w:r>
              <w:rPr>
                <w:b/>
                <w:sz w:val="20"/>
              </w:rPr>
              <w:t>Data element</w:t>
            </w:r>
          </w:p>
        </w:tc>
        <w:tc>
          <w:tcPr>
            <w:tcW w:w="1260" w:type="dxa"/>
            <w:tcBorders>
              <w:top w:val="single" w:sz="4" w:space="0" w:color="auto"/>
              <w:bottom w:val="single" w:sz="4" w:space="0" w:color="auto"/>
            </w:tcBorders>
          </w:tcPr>
          <w:p w:rsidR="00C11A95" w:rsidRDefault="00C11A95" w:rsidP="00BA4492">
            <w:pPr>
              <w:jc w:val="center"/>
              <w:rPr>
                <w:b/>
                <w:sz w:val="20"/>
              </w:rPr>
            </w:pPr>
            <w:r>
              <w:rPr>
                <w:b/>
                <w:sz w:val="20"/>
                <w:szCs w:val="22"/>
              </w:rPr>
              <w:t>States with access</w:t>
            </w:r>
          </w:p>
          <w:p w:rsidR="00C11A95" w:rsidRPr="00D433B4" w:rsidRDefault="00C11A95" w:rsidP="00BA4492">
            <w:pPr>
              <w:jc w:val="center"/>
              <w:rPr>
                <w:b/>
                <w:sz w:val="20"/>
              </w:rPr>
            </w:pPr>
            <w:r>
              <w:rPr>
                <w:b/>
                <w:sz w:val="20"/>
                <w:szCs w:val="22"/>
              </w:rPr>
              <w:t>N</w:t>
            </w:r>
          </w:p>
        </w:tc>
        <w:tc>
          <w:tcPr>
            <w:tcW w:w="2160" w:type="dxa"/>
            <w:tcBorders>
              <w:top w:val="single" w:sz="4" w:space="0" w:color="auto"/>
              <w:bottom w:val="single" w:sz="4" w:space="0" w:color="auto"/>
              <w:right w:val="single" w:sz="4" w:space="0" w:color="auto"/>
            </w:tcBorders>
          </w:tcPr>
          <w:p w:rsidR="00C11A95" w:rsidRDefault="00C11A95" w:rsidP="00F86237">
            <w:pPr>
              <w:jc w:val="center"/>
              <w:rPr>
                <w:b/>
                <w:sz w:val="20"/>
                <w:szCs w:val="20"/>
              </w:rPr>
            </w:pPr>
            <w:r>
              <w:rPr>
                <w:b/>
                <w:sz w:val="20"/>
                <w:szCs w:val="20"/>
              </w:rPr>
              <w:t>Percent of respondents</w:t>
            </w:r>
          </w:p>
          <w:p w:rsidR="00C11A95" w:rsidRPr="00550520" w:rsidRDefault="00C11A95" w:rsidP="00F86237">
            <w:pPr>
              <w:jc w:val="center"/>
              <w:rPr>
                <w:b/>
                <w:sz w:val="20"/>
                <w:szCs w:val="20"/>
              </w:rPr>
            </w:pPr>
            <w:r>
              <w:rPr>
                <w:b/>
                <w:sz w:val="20"/>
                <w:szCs w:val="20"/>
              </w:rPr>
              <w:t>%</w:t>
            </w:r>
          </w:p>
        </w:tc>
      </w:tr>
      <w:tr w:rsidR="00C11A95" w:rsidRPr="009D7FB3" w:rsidTr="007B737D">
        <w:tc>
          <w:tcPr>
            <w:tcW w:w="8748" w:type="dxa"/>
            <w:gridSpan w:val="3"/>
            <w:tcBorders>
              <w:top w:val="single" w:sz="4" w:space="0" w:color="auto"/>
              <w:left w:val="single" w:sz="4" w:space="0" w:color="auto"/>
              <w:bottom w:val="single" w:sz="4" w:space="0" w:color="auto"/>
              <w:right w:val="single" w:sz="4" w:space="0" w:color="auto"/>
            </w:tcBorders>
            <w:shd w:val="clear" w:color="auto" w:fill="D9D9D9"/>
          </w:tcPr>
          <w:p w:rsidR="00C11A95" w:rsidRPr="00D433B4" w:rsidRDefault="00C11A95" w:rsidP="006948D0">
            <w:pPr>
              <w:shd w:val="clear" w:color="auto" w:fill="D9D9D9"/>
              <w:rPr>
                <w:b/>
                <w:sz w:val="20"/>
              </w:rPr>
            </w:pPr>
            <w:r w:rsidRPr="00D433B4">
              <w:rPr>
                <w:b/>
                <w:sz w:val="20"/>
              </w:rPr>
              <w:t>Worker identifiers</w:t>
            </w:r>
          </w:p>
        </w:tc>
      </w:tr>
      <w:tr w:rsidR="00C11A95" w:rsidRPr="009D7FB3" w:rsidTr="007B737D">
        <w:tc>
          <w:tcPr>
            <w:tcW w:w="5328" w:type="dxa"/>
            <w:tcBorders>
              <w:top w:val="single" w:sz="4" w:space="0" w:color="auto"/>
              <w:left w:val="single" w:sz="4" w:space="0" w:color="auto"/>
            </w:tcBorders>
          </w:tcPr>
          <w:p w:rsidR="00C11A95" w:rsidRPr="00D433B4" w:rsidRDefault="00C11A95">
            <w:pPr>
              <w:rPr>
                <w:sz w:val="20"/>
              </w:rPr>
            </w:pPr>
            <w:r w:rsidRPr="00D433B4">
              <w:rPr>
                <w:sz w:val="20"/>
              </w:rPr>
              <w:t>Worker name</w:t>
            </w:r>
          </w:p>
        </w:tc>
        <w:tc>
          <w:tcPr>
            <w:tcW w:w="1260" w:type="dxa"/>
            <w:tcBorders>
              <w:top w:val="single" w:sz="4" w:space="0" w:color="auto"/>
            </w:tcBorders>
          </w:tcPr>
          <w:p w:rsidR="00C11A95" w:rsidRPr="00D433B4" w:rsidRDefault="00C11A95" w:rsidP="00B5689B">
            <w:pPr>
              <w:jc w:val="center"/>
              <w:rPr>
                <w:sz w:val="20"/>
              </w:rPr>
            </w:pPr>
            <w:r w:rsidRPr="00D433B4">
              <w:rPr>
                <w:sz w:val="20"/>
              </w:rPr>
              <w:t>10</w:t>
            </w:r>
          </w:p>
        </w:tc>
        <w:tc>
          <w:tcPr>
            <w:tcW w:w="2160" w:type="dxa"/>
            <w:tcBorders>
              <w:top w:val="single" w:sz="4" w:space="0" w:color="auto"/>
              <w:right w:val="single" w:sz="4" w:space="0" w:color="auto"/>
            </w:tcBorders>
          </w:tcPr>
          <w:p w:rsidR="00C11A95" w:rsidRPr="00D433B4" w:rsidRDefault="00C11A95" w:rsidP="00F86237">
            <w:pPr>
              <w:jc w:val="center"/>
              <w:rPr>
                <w:sz w:val="20"/>
              </w:rPr>
            </w:pPr>
            <w:r w:rsidRPr="00D433B4">
              <w:rPr>
                <w:sz w:val="20"/>
              </w:rPr>
              <w:t>26</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Worker address</w:t>
            </w:r>
          </w:p>
        </w:tc>
        <w:tc>
          <w:tcPr>
            <w:tcW w:w="1260" w:type="dxa"/>
          </w:tcPr>
          <w:p w:rsidR="00C11A95" w:rsidRPr="00D433B4" w:rsidRDefault="00C11A95" w:rsidP="00B5689B">
            <w:pPr>
              <w:jc w:val="center"/>
              <w:rPr>
                <w:sz w:val="20"/>
              </w:rPr>
            </w:pPr>
            <w:r w:rsidRPr="00D433B4">
              <w:rPr>
                <w:sz w:val="20"/>
              </w:rPr>
              <w:t>9</w:t>
            </w:r>
          </w:p>
        </w:tc>
        <w:tc>
          <w:tcPr>
            <w:tcW w:w="2160" w:type="dxa"/>
            <w:tcBorders>
              <w:right w:val="single" w:sz="4" w:space="0" w:color="auto"/>
            </w:tcBorders>
          </w:tcPr>
          <w:p w:rsidR="00C11A95" w:rsidRPr="00D433B4" w:rsidRDefault="00C11A95" w:rsidP="00F86237">
            <w:pPr>
              <w:jc w:val="center"/>
              <w:rPr>
                <w:sz w:val="20"/>
              </w:rPr>
            </w:pPr>
            <w:r>
              <w:rPr>
                <w:sz w:val="20"/>
              </w:rPr>
              <w:t>24</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Worker phone number</w:t>
            </w:r>
          </w:p>
        </w:tc>
        <w:tc>
          <w:tcPr>
            <w:tcW w:w="1260" w:type="dxa"/>
          </w:tcPr>
          <w:p w:rsidR="00C11A95" w:rsidRPr="00D433B4" w:rsidRDefault="00C11A95" w:rsidP="00B5689B">
            <w:pPr>
              <w:jc w:val="center"/>
              <w:rPr>
                <w:sz w:val="20"/>
              </w:rPr>
            </w:pPr>
            <w:r w:rsidRPr="00D433B4">
              <w:rPr>
                <w:sz w:val="20"/>
              </w:rPr>
              <w:t>6</w:t>
            </w:r>
          </w:p>
        </w:tc>
        <w:tc>
          <w:tcPr>
            <w:tcW w:w="2160" w:type="dxa"/>
            <w:tcBorders>
              <w:right w:val="single" w:sz="4" w:space="0" w:color="auto"/>
            </w:tcBorders>
          </w:tcPr>
          <w:p w:rsidR="00C11A95" w:rsidRPr="00D433B4" w:rsidRDefault="00C11A95" w:rsidP="00F86237">
            <w:pPr>
              <w:jc w:val="center"/>
              <w:rPr>
                <w:sz w:val="20"/>
              </w:rPr>
            </w:pPr>
            <w:r>
              <w:rPr>
                <w:sz w:val="20"/>
              </w:rPr>
              <w:t>16</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Date of birth</w:t>
            </w:r>
          </w:p>
        </w:tc>
        <w:tc>
          <w:tcPr>
            <w:tcW w:w="1260" w:type="dxa"/>
          </w:tcPr>
          <w:p w:rsidR="00C11A95" w:rsidRPr="00D433B4" w:rsidRDefault="00C11A95" w:rsidP="00B5689B">
            <w:pPr>
              <w:jc w:val="center"/>
              <w:rPr>
                <w:sz w:val="20"/>
              </w:rPr>
            </w:pPr>
            <w:r w:rsidRPr="00D433B4">
              <w:rPr>
                <w:sz w:val="20"/>
              </w:rPr>
              <w:t>16</w:t>
            </w:r>
          </w:p>
        </w:tc>
        <w:tc>
          <w:tcPr>
            <w:tcW w:w="2160" w:type="dxa"/>
            <w:tcBorders>
              <w:right w:val="single" w:sz="4" w:space="0" w:color="auto"/>
            </w:tcBorders>
          </w:tcPr>
          <w:p w:rsidR="00C11A95" w:rsidRPr="00D433B4" w:rsidRDefault="00C11A95" w:rsidP="00F86237">
            <w:pPr>
              <w:jc w:val="center"/>
              <w:rPr>
                <w:sz w:val="20"/>
              </w:rPr>
            </w:pPr>
            <w:r>
              <w:rPr>
                <w:sz w:val="20"/>
              </w:rPr>
              <w:t>42</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Race/ethnicity</w:t>
            </w:r>
          </w:p>
        </w:tc>
        <w:tc>
          <w:tcPr>
            <w:tcW w:w="1260" w:type="dxa"/>
          </w:tcPr>
          <w:p w:rsidR="00C11A95" w:rsidRPr="00D433B4" w:rsidRDefault="00C11A95" w:rsidP="00B5689B">
            <w:pPr>
              <w:jc w:val="center"/>
              <w:rPr>
                <w:sz w:val="20"/>
              </w:rPr>
            </w:pPr>
            <w:r w:rsidRPr="00D433B4">
              <w:rPr>
                <w:sz w:val="20"/>
              </w:rPr>
              <w:t>4</w:t>
            </w:r>
          </w:p>
        </w:tc>
        <w:tc>
          <w:tcPr>
            <w:tcW w:w="2160" w:type="dxa"/>
            <w:tcBorders>
              <w:right w:val="single" w:sz="4" w:space="0" w:color="auto"/>
            </w:tcBorders>
          </w:tcPr>
          <w:p w:rsidR="00C11A95" w:rsidRPr="00D433B4" w:rsidRDefault="00C11A95" w:rsidP="00F86237">
            <w:pPr>
              <w:jc w:val="center"/>
              <w:rPr>
                <w:sz w:val="20"/>
              </w:rPr>
            </w:pPr>
            <w:r>
              <w:rPr>
                <w:sz w:val="20"/>
              </w:rPr>
              <w:t>11</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Preferred spoken language</w:t>
            </w:r>
          </w:p>
        </w:tc>
        <w:tc>
          <w:tcPr>
            <w:tcW w:w="1260" w:type="dxa"/>
          </w:tcPr>
          <w:p w:rsidR="00C11A95" w:rsidRPr="00D433B4" w:rsidRDefault="00C11A95" w:rsidP="00B5689B">
            <w:pPr>
              <w:jc w:val="center"/>
              <w:rPr>
                <w:sz w:val="20"/>
              </w:rPr>
            </w:pPr>
            <w:r w:rsidRPr="00D433B4">
              <w:rPr>
                <w:sz w:val="20"/>
              </w:rPr>
              <w:t>1</w:t>
            </w:r>
          </w:p>
        </w:tc>
        <w:tc>
          <w:tcPr>
            <w:tcW w:w="2160" w:type="dxa"/>
            <w:tcBorders>
              <w:right w:val="single" w:sz="4" w:space="0" w:color="auto"/>
            </w:tcBorders>
          </w:tcPr>
          <w:p w:rsidR="00C11A95" w:rsidRPr="00D433B4" w:rsidRDefault="00C11A95" w:rsidP="00F86237">
            <w:pPr>
              <w:jc w:val="center"/>
              <w:rPr>
                <w:sz w:val="20"/>
              </w:rPr>
            </w:pPr>
            <w:r>
              <w:rPr>
                <w:sz w:val="20"/>
              </w:rPr>
              <w:t>3</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Occupation text</w:t>
            </w:r>
          </w:p>
        </w:tc>
        <w:tc>
          <w:tcPr>
            <w:tcW w:w="1260" w:type="dxa"/>
          </w:tcPr>
          <w:p w:rsidR="00C11A95" w:rsidRPr="00D433B4" w:rsidRDefault="00C11A95" w:rsidP="00B5689B">
            <w:pPr>
              <w:jc w:val="center"/>
              <w:rPr>
                <w:sz w:val="20"/>
              </w:rPr>
            </w:pPr>
            <w:r w:rsidRPr="00D433B4">
              <w:rPr>
                <w:sz w:val="20"/>
              </w:rPr>
              <w:t>10</w:t>
            </w:r>
          </w:p>
        </w:tc>
        <w:tc>
          <w:tcPr>
            <w:tcW w:w="2160" w:type="dxa"/>
            <w:tcBorders>
              <w:right w:val="single" w:sz="4" w:space="0" w:color="auto"/>
            </w:tcBorders>
          </w:tcPr>
          <w:p w:rsidR="00C11A95" w:rsidRPr="00D433B4" w:rsidRDefault="00C11A95" w:rsidP="00F86237">
            <w:pPr>
              <w:jc w:val="center"/>
              <w:rPr>
                <w:sz w:val="20"/>
              </w:rPr>
            </w:pPr>
            <w:r w:rsidRPr="00D433B4">
              <w:rPr>
                <w:sz w:val="20"/>
              </w:rPr>
              <w:t>26</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Occupation code </w:t>
            </w:r>
          </w:p>
        </w:tc>
        <w:tc>
          <w:tcPr>
            <w:tcW w:w="1260" w:type="dxa"/>
          </w:tcPr>
          <w:p w:rsidR="00C11A95" w:rsidRPr="00D433B4" w:rsidRDefault="00C11A95" w:rsidP="00B5689B">
            <w:pPr>
              <w:jc w:val="center"/>
              <w:rPr>
                <w:sz w:val="20"/>
              </w:rPr>
            </w:pPr>
            <w:r w:rsidRPr="00D433B4">
              <w:rPr>
                <w:sz w:val="20"/>
              </w:rPr>
              <w:t>7</w:t>
            </w:r>
          </w:p>
        </w:tc>
        <w:tc>
          <w:tcPr>
            <w:tcW w:w="2160" w:type="dxa"/>
            <w:tcBorders>
              <w:right w:val="single" w:sz="4" w:space="0" w:color="auto"/>
            </w:tcBorders>
          </w:tcPr>
          <w:p w:rsidR="00C11A95" w:rsidRPr="00D433B4" w:rsidRDefault="00C11A95" w:rsidP="00F86237">
            <w:pPr>
              <w:jc w:val="center"/>
              <w:rPr>
                <w:sz w:val="20"/>
              </w:rPr>
            </w:pPr>
            <w:r>
              <w:rPr>
                <w:sz w:val="20"/>
                <w:szCs w:val="20"/>
              </w:rPr>
              <w:t>18</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   Bureau of Census </w:t>
            </w:r>
            <w:r>
              <w:rPr>
                <w:sz w:val="20"/>
              </w:rPr>
              <w:t>(</w:t>
            </w:r>
            <w:r w:rsidRPr="00D433B4">
              <w:rPr>
                <w:sz w:val="20"/>
              </w:rPr>
              <w:t>BC)</w:t>
            </w:r>
          </w:p>
        </w:tc>
        <w:tc>
          <w:tcPr>
            <w:tcW w:w="1260" w:type="dxa"/>
          </w:tcPr>
          <w:p w:rsidR="00C11A95" w:rsidRPr="00D433B4" w:rsidRDefault="00C11A95" w:rsidP="00B5689B">
            <w:pPr>
              <w:jc w:val="center"/>
              <w:rPr>
                <w:sz w:val="20"/>
              </w:rPr>
            </w:pPr>
            <w:r w:rsidRPr="00D433B4">
              <w:rPr>
                <w:sz w:val="20"/>
              </w:rPr>
              <w:t>2</w:t>
            </w:r>
          </w:p>
        </w:tc>
        <w:tc>
          <w:tcPr>
            <w:tcW w:w="2160" w:type="dxa"/>
            <w:tcBorders>
              <w:right w:val="single" w:sz="4" w:space="0" w:color="auto"/>
            </w:tcBorders>
          </w:tcPr>
          <w:p w:rsidR="00C11A95" w:rsidRPr="00D433B4" w:rsidRDefault="00C11A95" w:rsidP="00F86237">
            <w:pPr>
              <w:jc w:val="center"/>
              <w:rPr>
                <w:sz w:val="20"/>
              </w:rPr>
            </w:pPr>
            <w:r>
              <w:rPr>
                <w:sz w:val="20"/>
              </w:rPr>
              <w:t>5</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   </w:t>
            </w:r>
            <w:r w:rsidRPr="00E508B6">
              <w:rPr>
                <w:bCs/>
                <w:sz w:val="20"/>
                <w:szCs w:val="20"/>
              </w:rPr>
              <w:t>Standard Occupational Classification (</w:t>
            </w:r>
            <w:r w:rsidRPr="00D433B4">
              <w:rPr>
                <w:sz w:val="20"/>
              </w:rPr>
              <w:t>SOC</w:t>
            </w:r>
            <w:r w:rsidRPr="00E508B6">
              <w:rPr>
                <w:bCs/>
                <w:sz w:val="20"/>
                <w:szCs w:val="20"/>
              </w:rPr>
              <w:t>)</w:t>
            </w:r>
          </w:p>
        </w:tc>
        <w:tc>
          <w:tcPr>
            <w:tcW w:w="1260" w:type="dxa"/>
          </w:tcPr>
          <w:p w:rsidR="00C11A95" w:rsidRPr="00D433B4" w:rsidRDefault="00C11A95" w:rsidP="00B5689B">
            <w:pPr>
              <w:jc w:val="center"/>
              <w:rPr>
                <w:sz w:val="20"/>
              </w:rPr>
            </w:pPr>
            <w:r w:rsidRPr="00D433B4">
              <w:rPr>
                <w:sz w:val="20"/>
              </w:rPr>
              <w:t>5</w:t>
            </w:r>
          </w:p>
        </w:tc>
        <w:tc>
          <w:tcPr>
            <w:tcW w:w="2160" w:type="dxa"/>
            <w:tcBorders>
              <w:right w:val="single" w:sz="4" w:space="0" w:color="auto"/>
            </w:tcBorders>
          </w:tcPr>
          <w:p w:rsidR="00C11A95" w:rsidRPr="00D433B4" w:rsidRDefault="00C11A95" w:rsidP="00F86237">
            <w:pPr>
              <w:jc w:val="center"/>
              <w:rPr>
                <w:sz w:val="20"/>
              </w:rPr>
            </w:pPr>
            <w:r>
              <w:rPr>
                <w:sz w:val="20"/>
              </w:rPr>
              <w:t>13</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   Both BC and SOC</w:t>
            </w:r>
          </w:p>
        </w:tc>
        <w:tc>
          <w:tcPr>
            <w:tcW w:w="1260" w:type="dxa"/>
          </w:tcPr>
          <w:p w:rsidR="00C11A95" w:rsidRPr="00D433B4" w:rsidRDefault="00C11A95" w:rsidP="00B5689B">
            <w:pPr>
              <w:jc w:val="center"/>
              <w:rPr>
                <w:sz w:val="20"/>
              </w:rPr>
            </w:pPr>
            <w:r w:rsidRPr="00D433B4">
              <w:rPr>
                <w:sz w:val="20"/>
              </w:rPr>
              <w:t>1</w:t>
            </w:r>
          </w:p>
        </w:tc>
        <w:tc>
          <w:tcPr>
            <w:tcW w:w="2160" w:type="dxa"/>
            <w:tcBorders>
              <w:right w:val="single" w:sz="4" w:space="0" w:color="auto"/>
            </w:tcBorders>
          </w:tcPr>
          <w:p w:rsidR="00C11A95" w:rsidRPr="00D433B4" w:rsidRDefault="00C11A95" w:rsidP="00F86237">
            <w:pPr>
              <w:jc w:val="center"/>
              <w:rPr>
                <w:sz w:val="20"/>
              </w:rPr>
            </w:pPr>
            <w:r>
              <w:rPr>
                <w:sz w:val="20"/>
              </w:rPr>
              <w:t>3</w:t>
            </w:r>
          </w:p>
        </w:tc>
      </w:tr>
      <w:tr w:rsidR="00C11A95" w:rsidRPr="009D7FB3" w:rsidTr="007B737D">
        <w:tc>
          <w:tcPr>
            <w:tcW w:w="5328" w:type="dxa"/>
            <w:tcBorders>
              <w:left w:val="single" w:sz="4" w:space="0" w:color="auto"/>
              <w:bottom w:val="single" w:sz="4" w:space="0" w:color="auto"/>
            </w:tcBorders>
          </w:tcPr>
          <w:p w:rsidR="00C11A95" w:rsidRPr="00D433B4" w:rsidRDefault="00C11A95">
            <w:pPr>
              <w:rPr>
                <w:sz w:val="20"/>
              </w:rPr>
            </w:pPr>
            <w:r w:rsidRPr="00D433B4">
              <w:rPr>
                <w:sz w:val="20"/>
              </w:rPr>
              <w:t xml:space="preserve">   Other  - unique to WC system</w:t>
            </w:r>
          </w:p>
        </w:tc>
        <w:tc>
          <w:tcPr>
            <w:tcW w:w="1260" w:type="dxa"/>
            <w:tcBorders>
              <w:bottom w:val="single" w:sz="4" w:space="0" w:color="auto"/>
            </w:tcBorders>
          </w:tcPr>
          <w:p w:rsidR="00C11A95" w:rsidRPr="00D433B4" w:rsidRDefault="00C11A95" w:rsidP="00B5689B">
            <w:pPr>
              <w:jc w:val="center"/>
              <w:rPr>
                <w:sz w:val="20"/>
              </w:rPr>
            </w:pPr>
            <w:r w:rsidRPr="00D433B4">
              <w:rPr>
                <w:sz w:val="20"/>
              </w:rPr>
              <w:t>1</w:t>
            </w:r>
          </w:p>
        </w:tc>
        <w:tc>
          <w:tcPr>
            <w:tcW w:w="2160" w:type="dxa"/>
            <w:tcBorders>
              <w:bottom w:val="single" w:sz="4" w:space="0" w:color="auto"/>
              <w:right w:val="single" w:sz="4" w:space="0" w:color="auto"/>
            </w:tcBorders>
          </w:tcPr>
          <w:p w:rsidR="00C11A95" w:rsidRPr="00D433B4" w:rsidRDefault="00C11A95" w:rsidP="00F86237">
            <w:pPr>
              <w:jc w:val="center"/>
              <w:rPr>
                <w:sz w:val="20"/>
              </w:rPr>
            </w:pPr>
            <w:r>
              <w:rPr>
                <w:sz w:val="20"/>
              </w:rPr>
              <w:t>3</w:t>
            </w:r>
          </w:p>
        </w:tc>
      </w:tr>
      <w:tr w:rsidR="00C11A95" w:rsidRPr="009D7FB3" w:rsidTr="007B737D">
        <w:tc>
          <w:tcPr>
            <w:tcW w:w="8748" w:type="dxa"/>
            <w:gridSpan w:val="3"/>
            <w:tcBorders>
              <w:top w:val="single" w:sz="4" w:space="0" w:color="auto"/>
              <w:left w:val="single" w:sz="4" w:space="0" w:color="auto"/>
              <w:bottom w:val="single" w:sz="4" w:space="0" w:color="auto"/>
              <w:right w:val="single" w:sz="4" w:space="0" w:color="auto"/>
            </w:tcBorders>
            <w:shd w:val="clear" w:color="auto" w:fill="CCCCCC"/>
          </w:tcPr>
          <w:p w:rsidR="00C11A95" w:rsidRPr="00D433B4" w:rsidRDefault="00C11A95" w:rsidP="009D78D8">
            <w:pPr>
              <w:rPr>
                <w:sz w:val="20"/>
              </w:rPr>
            </w:pPr>
            <w:r w:rsidRPr="00D433B4">
              <w:rPr>
                <w:b/>
                <w:sz w:val="20"/>
              </w:rPr>
              <w:t>Employer identifiers</w:t>
            </w:r>
          </w:p>
        </w:tc>
      </w:tr>
      <w:tr w:rsidR="00C11A95" w:rsidRPr="009D7FB3" w:rsidTr="007B737D">
        <w:tc>
          <w:tcPr>
            <w:tcW w:w="5328" w:type="dxa"/>
            <w:tcBorders>
              <w:top w:val="single" w:sz="4" w:space="0" w:color="auto"/>
              <w:left w:val="single" w:sz="4" w:space="0" w:color="auto"/>
            </w:tcBorders>
          </w:tcPr>
          <w:p w:rsidR="00C11A95" w:rsidRPr="00D433B4" w:rsidRDefault="00C11A95">
            <w:pPr>
              <w:rPr>
                <w:sz w:val="20"/>
              </w:rPr>
            </w:pPr>
            <w:r w:rsidRPr="00D433B4">
              <w:rPr>
                <w:sz w:val="20"/>
              </w:rPr>
              <w:t>Employer name</w:t>
            </w:r>
          </w:p>
        </w:tc>
        <w:tc>
          <w:tcPr>
            <w:tcW w:w="1260" w:type="dxa"/>
            <w:tcBorders>
              <w:top w:val="single" w:sz="4" w:space="0" w:color="auto"/>
            </w:tcBorders>
          </w:tcPr>
          <w:p w:rsidR="00C11A95" w:rsidRPr="00D433B4" w:rsidRDefault="00C11A95" w:rsidP="00B5689B">
            <w:pPr>
              <w:jc w:val="center"/>
              <w:rPr>
                <w:sz w:val="20"/>
              </w:rPr>
            </w:pPr>
            <w:r w:rsidRPr="00D433B4">
              <w:rPr>
                <w:sz w:val="20"/>
              </w:rPr>
              <w:t>13</w:t>
            </w:r>
          </w:p>
        </w:tc>
        <w:tc>
          <w:tcPr>
            <w:tcW w:w="2160" w:type="dxa"/>
            <w:tcBorders>
              <w:top w:val="single" w:sz="4" w:space="0" w:color="auto"/>
              <w:right w:val="single" w:sz="4" w:space="0" w:color="auto"/>
            </w:tcBorders>
          </w:tcPr>
          <w:p w:rsidR="00C11A95" w:rsidRPr="00D433B4" w:rsidRDefault="00C11A95" w:rsidP="00F86237">
            <w:pPr>
              <w:jc w:val="center"/>
              <w:rPr>
                <w:sz w:val="20"/>
              </w:rPr>
            </w:pPr>
            <w:r w:rsidRPr="00D433B4">
              <w:rPr>
                <w:sz w:val="20"/>
              </w:rPr>
              <w:t>34</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Employer address</w:t>
            </w:r>
          </w:p>
        </w:tc>
        <w:tc>
          <w:tcPr>
            <w:tcW w:w="1260" w:type="dxa"/>
          </w:tcPr>
          <w:p w:rsidR="00C11A95" w:rsidRPr="00D433B4" w:rsidRDefault="00C11A95" w:rsidP="00B5689B">
            <w:pPr>
              <w:jc w:val="center"/>
              <w:rPr>
                <w:sz w:val="20"/>
              </w:rPr>
            </w:pPr>
            <w:r w:rsidRPr="00D433B4">
              <w:rPr>
                <w:sz w:val="20"/>
              </w:rPr>
              <w:t>11</w:t>
            </w:r>
          </w:p>
        </w:tc>
        <w:tc>
          <w:tcPr>
            <w:tcW w:w="2160" w:type="dxa"/>
            <w:tcBorders>
              <w:right w:val="single" w:sz="4" w:space="0" w:color="auto"/>
            </w:tcBorders>
          </w:tcPr>
          <w:p w:rsidR="00C11A95" w:rsidRPr="00D433B4" w:rsidRDefault="00C11A95" w:rsidP="00F86237">
            <w:pPr>
              <w:jc w:val="center"/>
              <w:rPr>
                <w:sz w:val="20"/>
              </w:rPr>
            </w:pPr>
            <w:r w:rsidRPr="00D433B4">
              <w:rPr>
                <w:sz w:val="20"/>
              </w:rPr>
              <w:t>29</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Employer phone</w:t>
            </w:r>
          </w:p>
        </w:tc>
        <w:tc>
          <w:tcPr>
            <w:tcW w:w="1260" w:type="dxa"/>
          </w:tcPr>
          <w:p w:rsidR="00C11A95" w:rsidRPr="00D433B4" w:rsidRDefault="00C11A95" w:rsidP="00B5689B">
            <w:pPr>
              <w:jc w:val="center"/>
              <w:rPr>
                <w:sz w:val="20"/>
              </w:rPr>
            </w:pPr>
            <w:r w:rsidRPr="00D433B4">
              <w:rPr>
                <w:sz w:val="20"/>
              </w:rPr>
              <w:t>10</w:t>
            </w:r>
          </w:p>
        </w:tc>
        <w:tc>
          <w:tcPr>
            <w:tcW w:w="2160" w:type="dxa"/>
            <w:tcBorders>
              <w:right w:val="single" w:sz="4" w:space="0" w:color="auto"/>
            </w:tcBorders>
          </w:tcPr>
          <w:p w:rsidR="00C11A95" w:rsidRPr="00D433B4" w:rsidRDefault="00C11A95" w:rsidP="00F86237">
            <w:pPr>
              <w:jc w:val="center"/>
              <w:rPr>
                <w:sz w:val="20"/>
              </w:rPr>
            </w:pPr>
            <w:r w:rsidRPr="00D433B4">
              <w:rPr>
                <w:sz w:val="20"/>
              </w:rPr>
              <w:t>26</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Incident location if different than employer address</w:t>
            </w:r>
          </w:p>
        </w:tc>
        <w:tc>
          <w:tcPr>
            <w:tcW w:w="1260" w:type="dxa"/>
          </w:tcPr>
          <w:p w:rsidR="00C11A95" w:rsidRPr="00D433B4" w:rsidRDefault="00C11A95" w:rsidP="00B5689B">
            <w:pPr>
              <w:jc w:val="center"/>
              <w:rPr>
                <w:sz w:val="20"/>
              </w:rPr>
            </w:pPr>
            <w:r w:rsidRPr="00D433B4">
              <w:rPr>
                <w:sz w:val="20"/>
              </w:rPr>
              <w:t>7</w:t>
            </w:r>
          </w:p>
        </w:tc>
        <w:tc>
          <w:tcPr>
            <w:tcW w:w="2160" w:type="dxa"/>
            <w:tcBorders>
              <w:right w:val="single" w:sz="4" w:space="0" w:color="auto"/>
            </w:tcBorders>
          </w:tcPr>
          <w:p w:rsidR="00C11A95" w:rsidRPr="00D433B4" w:rsidRDefault="00C11A95" w:rsidP="00F86237">
            <w:pPr>
              <w:jc w:val="center"/>
              <w:rPr>
                <w:sz w:val="20"/>
              </w:rPr>
            </w:pPr>
            <w:r w:rsidRPr="00D433B4">
              <w:rPr>
                <w:sz w:val="20"/>
              </w:rPr>
              <w:t>18</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Industry description</w:t>
            </w:r>
          </w:p>
        </w:tc>
        <w:tc>
          <w:tcPr>
            <w:tcW w:w="1260" w:type="dxa"/>
          </w:tcPr>
          <w:p w:rsidR="00C11A95" w:rsidRPr="00D433B4" w:rsidRDefault="00C11A95" w:rsidP="00B5689B">
            <w:pPr>
              <w:jc w:val="center"/>
              <w:rPr>
                <w:sz w:val="20"/>
              </w:rPr>
            </w:pPr>
            <w:r w:rsidRPr="00D433B4">
              <w:rPr>
                <w:sz w:val="20"/>
              </w:rPr>
              <w:t>5</w:t>
            </w:r>
          </w:p>
        </w:tc>
        <w:tc>
          <w:tcPr>
            <w:tcW w:w="2160" w:type="dxa"/>
            <w:tcBorders>
              <w:right w:val="single" w:sz="4" w:space="0" w:color="auto"/>
            </w:tcBorders>
          </w:tcPr>
          <w:p w:rsidR="00C11A95" w:rsidRPr="00D433B4" w:rsidRDefault="00C11A95" w:rsidP="00F86237">
            <w:pPr>
              <w:jc w:val="center"/>
              <w:rPr>
                <w:sz w:val="20"/>
              </w:rPr>
            </w:pPr>
            <w:r w:rsidRPr="00D433B4">
              <w:rPr>
                <w:sz w:val="20"/>
              </w:rPr>
              <w:t>13</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Industry code: </w:t>
            </w:r>
          </w:p>
        </w:tc>
        <w:tc>
          <w:tcPr>
            <w:tcW w:w="1260" w:type="dxa"/>
          </w:tcPr>
          <w:p w:rsidR="00C11A95" w:rsidRPr="00D433B4" w:rsidRDefault="00C11A95" w:rsidP="00B5689B">
            <w:pPr>
              <w:jc w:val="center"/>
              <w:rPr>
                <w:sz w:val="20"/>
              </w:rPr>
            </w:pPr>
            <w:r w:rsidRPr="00D433B4">
              <w:rPr>
                <w:sz w:val="20"/>
              </w:rPr>
              <w:t>14</w:t>
            </w:r>
          </w:p>
        </w:tc>
        <w:tc>
          <w:tcPr>
            <w:tcW w:w="2160" w:type="dxa"/>
            <w:tcBorders>
              <w:right w:val="single" w:sz="4" w:space="0" w:color="auto"/>
            </w:tcBorders>
          </w:tcPr>
          <w:p w:rsidR="00C11A95" w:rsidRPr="00D433B4" w:rsidRDefault="00C11A95" w:rsidP="00F86237">
            <w:pPr>
              <w:jc w:val="center"/>
              <w:rPr>
                <w:sz w:val="20"/>
              </w:rPr>
            </w:pPr>
            <w:r w:rsidRPr="00D433B4">
              <w:rPr>
                <w:sz w:val="20"/>
              </w:rPr>
              <w:t>37</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   </w:t>
            </w:r>
            <w:r w:rsidRPr="003F2ECF">
              <w:rPr>
                <w:bCs/>
                <w:sz w:val="20"/>
                <w:szCs w:val="20"/>
              </w:rPr>
              <w:t>North American Industry Classification System (</w:t>
            </w:r>
            <w:r w:rsidRPr="00D433B4">
              <w:rPr>
                <w:sz w:val="20"/>
              </w:rPr>
              <w:t>NAICS</w:t>
            </w:r>
            <w:r w:rsidRPr="003F2ECF">
              <w:rPr>
                <w:bCs/>
                <w:sz w:val="20"/>
                <w:szCs w:val="20"/>
              </w:rPr>
              <w:t>)</w:t>
            </w:r>
          </w:p>
        </w:tc>
        <w:tc>
          <w:tcPr>
            <w:tcW w:w="1260" w:type="dxa"/>
          </w:tcPr>
          <w:p w:rsidR="00C11A95" w:rsidRPr="00D433B4" w:rsidRDefault="00C11A95" w:rsidP="00B5689B">
            <w:pPr>
              <w:jc w:val="center"/>
              <w:rPr>
                <w:sz w:val="20"/>
              </w:rPr>
            </w:pPr>
            <w:r w:rsidRPr="00D433B4">
              <w:rPr>
                <w:sz w:val="20"/>
              </w:rPr>
              <w:t>10</w:t>
            </w:r>
          </w:p>
        </w:tc>
        <w:tc>
          <w:tcPr>
            <w:tcW w:w="2160" w:type="dxa"/>
            <w:tcBorders>
              <w:right w:val="single" w:sz="4" w:space="0" w:color="auto"/>
            </w:tcBorders>
          </w:tcPr>
          <w:p w:rsidR="00C11A95" w:rsidRPr="00D433B4" w:rsidRDefault="00C11A95" w:rsidP="00F86237">
            <w:pPr>
              <w:jc w:val="center"/>
              <w:rPr>
                <w:sz w:val="20"/>
              </w:rPr>
            </w:pPr>
            <w:r w:rsidRPr="00D433B4">
              <w:rPr>
                <w:sz w:val="20"/>
              </w:rPr>
              <w:t>26</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   </w:t>
            </w:r>
            <w:r w:rsidRPr="003F2ECF">
              <w:rPr>
                <w:bCs/>
                <w:sz w:val="20"/>
                <w:szCs w:val="20"/>
              </w:rPr>
              <w:t>Standard Industrial Classification (</w:t>
            </w:r>
            <w:r w:rsidRPr="00D433B4">
              <w:rPr>
                <w:sz w:val="20"/>
              </w:rPr>
              <w:t>SIC</w:t>
            </w:r>
            <w:r w:rsidRPr="003F2ECF">
              <w:rPr>
                <w:bCs/>
                <w:sz w:val="20"/>
                <w:szCs w:val="20"/>
              </w:rPr>
              <w:t xml:space="preserve">) </w:t>
            </w:r>
          </w:p>
        </w:tc>
        <w:tc>
          <w:tcPr>
            <w:tcW w:w="1260" w:type="dxa"/>
          </w:tcPr>
          <w:p w:rsidR="00C11A95" w:rsidRPr="00D433B4" w:rsidRDefault="00C11A95" w:rsidP="00B5689B">
            <w:pPr>
              <w:jc w:val="center"/>
              <w:rPr>
                <w:sz w:val="20"/>
              </w:rPr>
            </w:pPr>
            <w:r w:rsidRPr="00D433B4">
              <w:rPr>
                <w:sz w:val="20"/>
              </w:rPr>
              <w:t>11</w:t>
            </w:r>
          </w:p>
        </w:tc>
        <w:tc>
          <w:tcPr>
            <w:tcW w:w="2160" w:type="dxa"/>
            <w:tcBorders>
              <w:right w:val="single" w:sz="4" w:space="0" w:color="auto"/>
            </w:tcBorders>
          </w:tcPr>
          <w:p w:rsidR="00C11A95" w:rsidRPr="00D433B4" w:rsidRDefault="00C11A95" w:rsidP="00F86237">
            <w:pPr>
              <w:jc w:val="center"/>
              <w:rPr>
                <w:sz w:val="20"/>
              </w:rPr>
            </w:pPr>
            <w:r w:rsidRPr="00D433B4">
              <w:rPr>
                <w:sz w:val="20"/>
              </w:rPr>
              <w:t>29</w:t>
            </w:r>
          </w:p>
        </w:tc>
      </w:tr>
      <w:tr w:rsidR="00C11A95" w:rsidRPr="009D7FB3" w:rsidTr="007B737D">
        <w:tc>
          <w:tcPr>
            <w:tcW w:w="5328" w:type="dxa"/>
            <w:tcBorders>
              <w:left w:val="single" w:sz="4" w:space="0" w:color="auto"/>
              <w:bottom w:val="single" w:sz="4" w:space="0" w:color="auto"/>
            </w:tcBorders>
          </w:tcPr>
          <w:p w:rsidR="00C11A95" w:rsidRPr="00D433B4" w:rsidRDefault="00C11A95">
            <w:pPr>
              <w:rPr>
                <w:sz w:val="20"/>
              </w:rPr>
            </w:pPr>
            <w:r w:rsidRPr="00D433B4">
              <w:rPr>
                <w:sz w:val="20"/>
              </w:rPr>
              <w:t xml:space="preserve">  Both SIC and NAICS</w:t>
            </w:r>
          </w:p>
        </w:tc>
        <w:tc>
          <w:tcPr>
            <w:tcW w:w="1260" w:type="dxa"/>
            <w:tcBorders>
              <w:bottom w:val="single" w:sz="4" w:space="0" w:color="auto"/>
            </w:tcBorders>
          </w:tcPr>
          <w:p w:rsidR="00C11A95" w:rsidRPr="00D433B4" w:rsidRDefault="00C11A95" w:rsidP="00B5689B">
            <w:pPr>
              <w:jc w:val="center"/>
              <w:rPr>
                <w:sz w:val="20"/>
              </w:rPr>
            </w:pPr>
            <w:r w:rsidRPr="00D433B4">
              <w:rPr>
                <w:sz w:val="20"/>
              </w:rPr>
              <w:t>7</w:t>
            </w:r>
          </w:p>
        </w:tc>
        <w:tc>
          <w:tcPr>
            <w:tcW w:w="2160" w:type="dxa"/>
            <w:tcBorders>
              <w:bottom w:val="single" w:sz="4" w:space="0" w:color="auto"/>
              <w:right w:val="single" w:sz="4" w:space="0" w:color="auto"/>
            </w:tcBorders>
          </w:tcPr>
          <w:p w:rsidR="00C11A95" w:rsidRPr="00D433B4" w:rsidRDefault="00C11A95" w:rsidP="00F86237">
            <w:pPr>
              <w:jc w:val="center"/>
              <w:rPr>
                <w:sz w:val="20"/>
              </w:rPr>
            </w:pPr>
            <w:r w:rsidRPr="00D433B4">
              <w:rPr>
                <w:sz w:val="20"/>
              </w:rPr>
              <w:t xml:space="preserve">18 </w:t>
            </w:r>
          </w:p>
        </w:tc>
      </w:tr>
      <w:tr w:rsidR="00C11A95" w:rsidRPr="009D7FB3" w:rsidTr="007B737D">
        <w:tc>
          <w:tcPr>
            <w:tcW w:w="8748" w:type="dxa"/>
            <w:gridSpan w:val="3"/>
            <w:tcBorders>
              <w:top w:val="single" w:sz="4" w:space="0" w:color="auto"/>
              <w:left w:val="single" w:sz="4" w:space="0" w:color="auto"/>
              <w:bottom w:val="single" w:sz="4" w:space="0" w:color="auto"/>
              <w:right w:val="single" w:sz="4" w:space="0" w:color="auto"/>
            </w:tcBorders>
            <w:shd w:val="clear" w:color="auto" w:fill="D9D9D9"/>
          </w:tcPr>
          <w:p w:rsidR="00C11A95" w:rsidRPr="00D433B4" w:rsidRDefault="00C11A95" w:rsidP="009D78D8">
            <w:pPr>
              <w:rPr>
                <w:sz w:val="20"/>
              </w:rPr>
            </w:pPr>
            <w:r w:rsidRPr="00D433B4">
              <w:rPr>
                <w:b/>
                <w:sz w:val="20"/>
              </w:rPr>
              <w:t>Injury/illness descriptors</w:t>
            </w:r>
          </w:p>
        </w:tc>
      </w:tr>
      <w:tr w:rsidR="00C11A95" w:rsidRPr="009D7FB3" w:rsidTr="007B737D">
        <w:tc>
          <w:tcPr>
            <w:tcW w:w="5328" w:type="dxa"/>
            <w:tcBorders>
              <w:top w:val="single" w:sz="4" w:space="0" w:color="auto"/>
              <w:left w:val="single" w:sz="4" w:space="0" w:color="auto"/>
            </w:tcBorders>
          </w:tcPr>
          <w:p w:rsidR="00C11A95" w:rsidRPr="00D433B4" w:rsidRDefault="00C11A95">
            <w:pPr>
              <w:rPr>
                <w:sz w:val="20"/>
              </w:rPr>
            </w:pPr>
            <w:r w:rsidRPr="00D433B4">
              <w:rPr>
                <w:sz w:val="20"/>
              </w:rPr>
              <w:t>Nature of injury/illness narrative</w:t>
            </w:r>
          </w:p>
        </w:tc>
        <w:tc>
          <w:tcPr>
            <w:tcW w:w="1260" w:type="dxa"/>
            <w:tcBorders>
              <w:top w:val="single" w:sz="4" w:space="0" w:color="auto"/>
            </w:tcBorders>
          </w:tcPr>
          <w:p w:rsidR="00C11A95" w:rsidRPr="00D433B4" w:rsidRDefault="00C11A95" w:rsidP="00B5689B">
            <w:pPr>
              <w:jc w:val="center"/>
              <w:rPr>
                <w:sz w:val="20"/>
              </w:rPr>
            </w:pPr>
            <w:r w:rsidRPr="00D433B4">
              <w:rPr>
                <w:sz w:val="20"/>
              </w:rPr>
              <w:t>7</w:t>
            </w:r>
          </w:p>
        </w:tc>
        <w:tc>
          <w:tcPr>
            <w:tcW w:w="2160" w:type="dxa"/>
            <w:tcBorders>
              <w:top w:val="single" w:sz="4" w:space="0" w:color="auto"/>
              <w:right w:val="single" w:sz="4" w:space="0" w:color="auto"/>
            </w:tcBorders>
          </w:tcPr>
          <w:p w:rsidR="00C11A95" w:rsidRPr="00D433B4" w:rsidRDefault="00C11A95" w:rsidP="00F86237">
            <w:pPr>
              <w:jc w:val="center"/>
              <w:rPr>
                <w:sz w:val="20"/>
              </w:rPr>
            </w:pPr>
            <w:r w:rsidRPr="00D433B4">
              <w:rPr>
                <w:sz w:val="20"/>
              </w:rPr>
              <w:t>18</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Nature of injury/illness code</w:t>
            </w:r>
          </w:p>
        </w:tc>
        <w:tc>
          <w:tcPr>
            <w:tcW w:w="1260" w:type="dxa"/>
          </w:tcPr>
          <w:p w:rsidR="00C11A95" w:rsidRPr="00D433B4" w:rsidRDefault="00C11A95" w:rsidP="00B5689B">
            <w:pPr>
              <w:jc w:val="center"/>
              <w:rPr>
                <w:sz w:val="20"/>
              </w:rPr>
            </w:pPr>
          </w:p>
        </w:tc>
        <w:tc>
          <w:tcPr>
            <w:tcW w:w="2160" w:type="dxa"/>
            <w:tcBorders>
              <w:right w:val="single" w:sz="4" w:space="0" w:color="auto"/>
            </w:tcBorders>
          </w:tcPr>
          <w:p w:rsidR="00C11A95" w:rsidRPr="00D433B4" w:rsidRDefault="00C11A95" w:rsidP="00F86237">
            <w:pPr>
              <w:jc w:val="center"/>
              <w:rPr>
                <w:sz w:val="20"/>
              </w:rPr>
            </w:pPr>
          </w:p>
        </w:tc>
      </w:tr>
      <w:tr w:rsidR="00C11A95" w:rsidRPr="009D7FB3" w:rsidTr="007B737D">
        <w:tc>
          <w:tcPr>
            <w:tcW w:w="5328" w:type="dxa"/>
            <w:tcBorders>
              <w:left w:val="single" w:sz="4" w:space="0" w:color="auto"/>
            </w:tcBorders>
          </w:tcPr>
          <w:p w:rsidR="00C11A95" w:rsidRPr="00D433B4" w:rsidRDefault="00C11A95">
            <w:pPr>
              <w:rPr>
                <w:sz w:val="20"/>
              </w:rPr>
            </w:pPr>
            <w:r w:rsidRPr="00E508B6">
              <w:rPr>
                <w:bCs/>
                <w:sz w:val="20"/>
                <w:szCs w:val="20"/>
              </w:rPr>
              <w:t xml:space="preserve">   Occupational Injury and Illnesses Classification (OIIC)</w:t>
            </w:r>
          </w:p>
        </w:tc>
        <w:tc>
          <w:tcPr>
            <w:tcW w:w="1260" w:type="dxa"/>
          </w:tcPr>
          <w:p w:rsidR="00C11A95" w:rsidRPr="00D433B4" w:rsidRDefault="00C11A95" w:rsidP="00B5689B">
            <w:pPr>
              <w:jc w:val="center"/>
              <w:rPr>
                <w:sz w:val="20"/>
              </w:rPr>
            </w:pPr>
            <w:r w:rsidRPr="00D433B4">
              <w:rPr>
                <w:sz w:val="20"/>
              </w:rPr>
              <w:t>6</w:t>
            </w:r>
          </w:p>
        </w:tc>
        <w:tc>
          <w:tcPr>
            <w:tcW w:w="2160" w:type="dxa"/>
            <w:tcBorders>
              <w:right w:val="single" w:sz="4" w:space="0" w:color="auto"/>
            </w:tcBorders>
          </w:tcPr>
          <w:p w:rsidR="00C11A95" w:rsidRPr="00D433B4" w:rsidRDefault="00C11A95" w:rsidP="00F86237">
            <w:pPr>
              <w:jc w:val="center"/>
              <w:rPr>
                <w:sz w:val="20"/>
              </w:rPr>
            </w:pPr>
            <w:r w:rsidRPr="00D433B4">
              <w:rPr>
                <w:sz w:val="20"/>
              </w:rPr>
              <w:t>16</w:t>
            </w:r>
          </w:p>
        </w:tc>
      </w:tr>
      <w:tr w:rsidR="00C11A95" w:rsidRPr="009D7FB3" w:rsidTr="007B737D">
        <w:tc>
          <w:tcPr>
            <w:tcW w:w="5328" w:type="dxa"/>
            <w:tcBorders>
              <w:left w:val="single" w:sz="4" w:space="0" w:color="auto"/>
            </w:tcBorders>
          </w:tcPr>
          <w:p w:rsidR="00C11A95" w:rsidRPr="00E508B6" w:rsidRDefault="00C11A95">
            <w:pPr>
              <w:rPr>
                <w:bCs/>
                <w:sz w:val="20"/>
                <w:szCs w:val="20"/>
              </w:rPr>
            </w:pPr>
            <w:r w:rsidRPr="00E508B6">
              <w:rPr>
                <w:bCs/>
                <w:sz w:val="20"/>
                <w:szCs w:val="20"/>
              </w:rPr>
              <w:t xml:space="preserve">   International Association of Industrial Accident Boards and</w:t>
            </w:r>
          </w:p>
          <w:p w:rsidR="00C11A95" w:rsidRPr="00D433B4" w:rsidRDefault="00C11A95">
            <w:pPr>
              <w:rPr>
                <w:sz w:val="20"/>
              </w:rPr>
            </w:pPr>
            <w:r w:rsidRPr="00E508B6">
              <w:rPr>
                <w:bCs/>
                <w:sz w:val="20"/>
                <w:szCs w:val="20"/>
              </w:rPr>
              <w:t xml:space="preserve">   Commissions (IAIABC)</w:t>
            </w:r>
          </w:p>
        </w:tc>
        <w:tc>
          <w:tcPr>
            <w:tcW w:w="1260" w:type="dxa"/>
          </w:tcPr>
          <w:p w:rsidR="00C11A95" w:rsidRPr="00D433B4" w:rsidRDefault="00C11A95" w:rsidP="00B5689B">
            <w:pPr>
              <w:jc w:val="center"/>
              <w:rPr>
                <w:sz w:val="20"/>
              </w:rPr>
            </w:pPr>
            <w:r w:rsidRPr="00D433B4">
              <w:rPr>
                <w:sz w:val="20"/>
              </w:rPr>
              <w:t>5</w:t>
            </w:r>
          </w:p>
        </w:tc>
        <w:tc>
          <w:tcPr>
            <w:tcW w:w="2160" w:type="dxa"/>
            <w:tcBorders>
              <w:right w:val="single" w:sz="4" w:space="0" w:color="auto"/>
            </w:tcBorders>
          </w:tcPr>
          <w:p w:rsidR="00C11A95" w:rsidRPr="00D433B4" w:rsidRDefault="00C11A95" w:rsidP="00F86237">
            <w:pPr>
              <w:jc w:val="center"/>
              <w:rPr>
                <w:sz w:val="20"/>
              </w:rPr>
            </w:pPr>
            <w:r w:rsidRPr="00D433B4">
              <w:rPr>
                <w:sz w:val="20"/>
              </w:rPr>
              <w:t>13</w:t>
            </w:r>
          </w:p>
        </w:tc>
      </w:tr>
      <w:tr w:rsidR="00C11A95" w:rsidRPr="009D7FB3" w:rsidTr="007B737D">
        <w:tc>
          <w:tcPr>
            <w:tcW w:w="5328" w:type="dxa"/>
            <w:tcBorders>
              <w:left w:val="single" w:sz="4" w:space="0" w:color="auto"/>
            </w:tcBorders>
          </w:tcPr>
          <w:p w:rsidR="00C11A95" w:rsidRPr="00D433B4" w:rsidRDefault="00C11A95">
            <w:pPr>
              <w:rPr>
                <w:sz w:val="20"/>
                <w:highlight w:val="cyan"/>
              </w:rPr>
            </w:pPr>
            <w:r w:rsidRPr="00E508B6">
              <w:rPr>
                <w:bCs/>
                <w:sz w:val="20"/>
                <w:szCs w:val="20"/>
              </w:rPr>
              <w:t xml:space="preserve">   International Classification of Disease (ICD) </w:t>
            </w:r>
          </w:p>
        </w:tc>
        <w:tc>
          <w:tcPr>
            <w:tcW w:w="1260" w:type="dxa"/>
          </w:tcPr>
          <w:p w:rsidR="00C11A95" w:rsidRPr="00D433B4" w:rsidRDefault="00C11A95" w:rsidP="00B5689B">
            <w:pPr>
              <w:jc w:val="center"/>
              <w:rPr>
                <w:sz w:val="20"/>
              </w:rPr>
            </w:pPr>
            <w:r w:rsidRPr="00D433B4">
              <w:rPr>
                <w:sz w:val="20"/>
              </w:rPr>
              <w:t>5</w:t>
            </w:r>
          </w:p>
        </w:tc>
        <w:tc>
          <w:tcPr>
            <w:tcW w:w="2160" w:type="dxa"/>
            <w:tcBorders>
              <w:right w:val="single" w:sz="4" w:space="0" w:color="auto"/>
            </w:tcBorders>
          </w:tcPr>
          <w:p w:rsidR="00C11A95" w:rsidRPr="00D433B4" w:rsidRDefault="00C11A95" w:rsidP="00F86237">
            <w:pPr>
              <w:jc w:val="center"/>
              <w:rPr>
                <w:sz w:val="20"/>
              </w:rPr>
            </w:pPr>
            <w:r w:rsidRPr="00D433B4">
              <w:rPr>
                <w:sz w:val="20"/>
              </w:rPr>
              <w:t>13</w:t>
            </w:r>
          </w:p>
        </w:tc>
      </w:tr>
      <w:tr w:rsidR="00C11A95" w:rsidRPr="009D7FB3" w:rsidTr="007B737D">
        <w:tc>
          <w:tcPr>
            <w:tcW w:w="5328" w:type="dxa"/>
            <w:tcBorders>
              <w:left w:val="single" w:sz="4" w:space="0" w:color="auto"/>
            </w:tcBorders>
          </w:tcPr>
          <w:p w:rsidR="00C11A95" w:rsidRPr="00D433B4" w:rsidRDefault="00C11A95">
            <w:pPr>
              <w:rPr>
                <w:sz w:val="20"/>
              </w:rPr>
            </w:pPr>
            <w:r w:rsidRPr="00E24D62">
              <w:rPr>
                <w:bCs/>
                <w:sz w:val="20"/>
                <w:szCs w:val="20"/>
              </w:rPr>
              <w:t xml:space="preserve">   Workers’ Compensation Insurance Organizations (WCIO)</w:t>
            </w:r>
          </w:p>
        </w:tc>
        <w:tc>
          <w:tcPr>
            <w:tcW w:w="1260" w:type="dxa"/>
          </w:tcPr>
          <w:p w:rsidR="00C11A95" w:rsidRPr="00D433B4" w:rsidRDefault="00C11A95" w:rsidP="00B5689B">
            <w:pPr>
              <w:jc w:val="center"/>
              <w:rPr>
                <w:sz w:val="20"/>
              </w:rPr>
            </w:pPr>
            <w:r w:rsidRPr="00D433B4">
              <w:rPr>
                <w:sz w:val="20"/>
              </w:rPr>
              <w:t>3</w:t>
            </w:r>
          </w:p>
        </w:tc>
        <w:tc>
          <w:tcPr>
            <w:tcW w:w="2160" w:type="dxa"/>
            <w:tcBorders>
              <w:right w:val="single" w:sz="4" w:space="0" w:color="auto"/>
            </w:tcBorders>
          </w:tcPr>
          <w:p w:rsidR="00C11A95" w:rsidRPr="00D433B4" w:rsidRDefault="00C11A95" w:rsidP="00F86237">
            <w:pPr>
              <w:jc w:val="center"/>
              <w:rPr>
                <w:sz w:val="20"/>
              </w:rPr>
            </w:pPr>
            <w:r>
              <w:rPr>
                <w:sz w:val="20"/>
              </w:rPr>
              <w:t>8</w:t>
            </w:r>
          </w:p>
        </w:tc>
      </w:tr>
      <w:tr w:rsidR="00C11A95" w:rsidRPr="009D7FB3" w:rsidTr="007B737D">
        <w:tc>
          <w:tcPr>
            <w:tcW w:w="5328" w:type="dxa"/>
            <w:tcBorders>
              <w:left w:val="single" w:sz="4" w:space="0" w:color="auto"/>
              <w:bottom w:val="single" w:sz="4" w:space="0" w:color="auto"/>
            </w:tcBorders>
          </w:tcPr>
          <w:p w:rsidR="00C11A95" w:rsidRPr="00D433B4" w:rsidRDefault="00C11A95">
            <w:pPr>
              <w:rPr>
                <w:sz w:val="20"/>
              </w:rPr>
            </w:pPr>
            <w:r w:rsidRPr="00550520">
              <w:rPr>
                <w:bCs/>
                <w:sz w:val="20"/>
                <w:szCs w:val="20"/>
              </w:rPr>
              <w:t xml:space="preserve"> </w:t>
            </w:r>
            <w:r w:rsidRPr="00D433B4">
              <w:rPr>
                <w:sz w:val="20"/>
              </w:rPr>
              <w:t xml:space="preserve">  Other </w:t>
            </w:r>
          </w:p>
        </w:tc>
        <w:tc>
          <w:tcPr>
            <w:tcW w:w="1260" w:type="dxa"/>
            <w:tcBorders>
              <w:bottom w:val="single" w:sz="4" w:space="0" w:color="auto"/>
            </w:tcBorders>
          </w:tcPr>
          <w:p w:rsidR="00C11A95" w:rsidRPr="00D433B4" w:rsidRDefault="00C11A95" w:rsidP="00B5689B">
            <w:pPr>
              <w:jc w:val="center"/>
              <w:rPr>
                <w:sz w:val="20"/>
              </w:rPr>
            </w:pPr>
            <w:r w:rsidRPr="00D433B4">
              <w:rPr>
                <w:sz w:val="20"/>
              </w:rPr>
              <w:t>4</w:t>
            </w:r>
          </w:p>
        </w:tc>
        <w:tc>
          <w:tcPr>
            <w:tcW w:w="2160" w:type="dxa"/>
            <w:tcBorders>
              <w:bottom w:val="single" w:sz="4" w:space="0" w:color="auto"/>
              <w:right w:val="single" w:sz="4" w:space="0" w:color="auto"/>
            </w:tcBorders>
          </w:tcPr>
          <w:p w:rsidR="00C11A95" w:rsidRPr="00D433B4" w:rsidRDefault="00C11A95" w:rsidP="00F86237">
            <w:pPr>
              <w:jc w:val="center"/>
              <w:rPr>
                <w:sz w:val="20"/>
              </w:rPr>
            </w:pPr>
            <w:r w:rsidRPr="00D433B4">
              <w:rPr>
                <w:sz w:val="20"/>
              </w:rPr>
              <w:t>11</w:t>
            </w:r>
          </w:p>
        </w:tc>
      </w:tr>
      <w:tr w:rsidR="00C11A95" w:rsidRPr="009D7FB3" w:rsidTr="007B737D">
        <w:tc>
          <w:tcPr>
            <w:tcW w:w="8748" w:type="dxa"/>
            <w:gridSpan w:val="3"/>
            <w:tcBorders>
              <w:top w:val="single" w:sz="4" w:space="0" w:color="auto"/>
              <w:left w:val="single" w:sz="4" w:space="0" w:color="auto"/>
              <w:bottom w:val="single" w:sz="4" w:space="0" w:color="auto"/>
              <w:right w:val="single" w:sz="4" w:space="0" w:color="auto"/>
            </w:tcBorders>
            <w:shd w:val="clear" w:color="auto" w:fill="D9D9D9"/>
          </w:tcPr>
          <w:p w:rsidR="00C11A95" w:rsidRPr="00D433B4" w:rsidRDefault="00C11A95" w:rsidP="009D78D8">
            <w:pPr>
              <w:rPr>
                <w:sz w:val="20"/>
              </w:rPr>
            </w:pPr>
            <w:r w:rsidRPr="00D433B4">
              <w:rPr>
                <w:b/>
                <w:sz w:val="20"/>
              </w:rPr>
              <w:t>Body part descriptors</w:t>
            </w:r>
          </w:p>
        </w:tc>
      </w:tr>
      <w:tr w:rsidR="00C11A95" w:rsidRPr="009D7FB3" w:rsidTr="007B737D">
        <w:tc>
          <w:tcPr>
            <w:tcW w:w="5328" w:type="dxa"/>
            <w:tcBorders>
              <w:top w:val="single" w:sz="4" w:space="0" w:color="auto"/>
              <w:left w:val="single" w:sz="4" w:space="0" w:color="auto"/>
            </w:tcBorders>
          </w:tcPr>
          <w:p w:rsidR="00C11A95" w:rsidRPr="00D433B4" w:rsidRDefault="00C11A95">
            <w:pPr>
              <w:rPr>
                <w:sz w:val="20"/>
              </w:rPr>
            </w:pPr>
            <w:r w:rsidRPr="00D433B4">
              <w:rPr>
                <w:sz w:val="20"/>
              </w:rPr>
              <w:t>Body part narrative</w:t>
            </w:r>
          </w:p>
        </w:tc>
        <w:tc>
          <w:tcPr>
            <w:tcW w:w="1260" w:type="dxa"/>
            <w:tcBorders>
              <w:top w:val="single" w:sz="4" w:space="0" w:color="auto"/>
            </w:tcBorders>
          </w:tcPr>
          <w:p w:rsidR="00C11A95" w:rsidRPr="00D433B4" w:rsidRDefault="00C11A95" w:rsidP="00B5689B">
            <w:pPr>
              <w:jc w:val="center"/>
              <w:rPr>
                <w:sz w:val="20"/>
              </w:rPr>
            </w:pPr>
            <w:r w:rsidRPr="00D433B4">
              <w:rPr>
                <w:sz w:val="20"/>
              </w:rPr>
              <w:t>6</w:t>
            </w:r>
          </w:p>
        </w:tc>
        <w:tc>
          <w:tcPr>
            <w:tcW w:w="2160" w:type="dxa"/>
            <w:tcBorders>
              <w:top w:val="single" w:sz="4" w:space="0" w:color="auto"/>
              <w:right w:val="single" w:sz="4" w:space="0" w:color="auto"/>
            </w:tcBorders>
          </w:tcPr>
          <w:p w:rsidR="00C11A95" w:rsidRPr="00D433B4" w:rsidRDefault="00C11A95" w:rsidP="00F86237">
            <w:pPr>
              <w:jc w:val="center"/>
              <w:rPr>
                <w:sz w:val="20"/>
              </w:rPr>
            </w:pPr>
            <w:r w:rsidRPr="00D433B4">
              <w:rPr>
                <w:sz w:val="20"/>
              </w:rPr>
              <w:t>16</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Body part code:</w:t>
            </w:r>
          </w:p>
        </w:tc>
        <w:tc>
          <w:tcPr>
            <w:tcW w:w="1260" w:type="dxa"/>
          </w:tcPr>
          <w:p w:rsidR="00C11A95" w:rsidRPr="00D433B4" w:rsidRDefault="00C11A95" w:rsidP="00B5689B">
            <w:pPr>
              <w:jc w:val="center"/>
              <w:rPr>
                <w:sz w:val="20"/>
              </w:rPr>
            </w:pPr>
          </w:p>
        </w:tc>
        <w:tc>
          <w:tcPr>
            <w:tcW w:w="2160" w:type="dxa"/>
            <w:tcBorders>
              <w:right w:val="single" w:sz="4" w:space="0" w:color="auto"/>
            </w:tcBorders>
          </w:tcPr>
          <w:p w:rsidR="00C11A95" w:rsidRPr="00D433B4" w:rsidRDefault="00C11A95" w:rsidP="00F86237">
            <w:pPr>
              <w:jc w:val="center"/>
              <w:rPr>
                <w:sz w:val="20"/>
              </w:rPr>
            </w:pP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   OIIC</w:t>
            </w:r>
          </w:p>
        </w:tc>
        <w:tc>
          <w:tcPr>
            <w:tcW w:w="1260" w:type="dxa"/>
          </w:tcPr>
          <w:p w:rsidR="00C11A95" w:rsidRPr="00D433B4" w:rsidRDefault="00C11A95" w:rsidP="00B5689B">
            <w:pPr>
              <w:jc w:val="center"/>
              <w:rPr>
                <w:sz w:val="20"/>
              </w:rPr>
            </w:pPr>
            <w:r w:rsidRPr="00D433B4">
              <w:rPr>
                <w:sz w:val="20"/>
              </w:rPr>
              <w:t>6</w:t>
            </w:r>
          </w:p>
        </w:tc>
        <w:tc>
          <w:tcPr>
            <w:tcW w:w="2160" w:type="dxa"/>
            <w:tcBorders>
              <w:right w:val="single" w:sz="4" w:space="0" w:color="auto"/>
            </w:tcBorders>
          </w:tcPr>
          <w:p w:rsidR="00C11A95" w:rsidRPr="00D433B4" w:rsidRDefault="00C11A95" w:rsidP="00F86237">
            <w:pPr>
              <w:jc w:val="center"/>
              <w:rPr>
                <w:sz w:val="20"/>
              </w:rPr>
            </w:pPr>
            <w:r w:rsidRPr="00D433B4">
              <w:rPr>
                <w:sz w:val="20"/>
              </w:rPr>
              <w:t>16</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   IAIABC </w:t>
            </w:r>
          </w:p>
        </w:tc>
        <w:tc>
          <w:tcPr>
            <w:tcW w:w="1260" w:type="dxa"/>
          </w:tcPr>
          <w:p w:rsidR="00C11A95" w:rsidRPr="00D433B4" w:rsidRDefault="00C11A95" w:rsidP="00B5689B">
            <w:pPr>
              <w:jc w:val="center"/>
              <w:rPr>
                <w:sz w:val="20"/>
              </w:rPr>
            </w:pPr>
            <w:r w:rsidRPr="00D433B4">
              <w:rPr>
                <w:sz w:val="20"/>
              </w:rPr>
              <w:t>0</w:t>
            </w:r>
          </w:p>
        </w:tc>
        <w:tc>
          <w:tcPr>
            <w:tcW w:w="2160" w:type="dxa"/>
            <w:tcBorders>
              <w:right w:val="single" w:sz="4" w:space="0" w:color="auto"/>
            </w:tcBorders>
          </w:tcPr>
          <w:p w:rsidR="00C11A95" w:rsidRPr="00D433B4" w:rsidRDefault="00C11A95" w:rsidP="00F86237">
            <w:pPr>
              <w:jc w:val="center"/>
              <w:rPr>
                <w:sz w:val="20"/>
              </w:rPr>
            </w:pPr>
            <w:r>
              <w:rPr>
                <w:sz w:val="20"/>
              </w:rPr>
              <w:t>0</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   ICD</w:t>
            </w:r>
          </w:p>
        </w:tc>
        <w:tc>
          <w:tcPr>
            <w:tcW w:w="1260" w:type="dxa"/>
          </w:tcPr>
          <w:p w:rsidR="00C11A95" w:rsidRPr="00D433B4" w:rsidRDefault="00C11A95" w:rsidP="00B5689B">
            <w:pPr>
              <w:jc w:val="center"/>
              <w:rPr>
                <w:sz w:val="20"/>
              </w:rPr>
            </w:pPr>
            <w:r w:rsidRPr="00D433B4">
              <w:rPr>
                <w:sz w:val="20"/>
              </w:rPr>
              <w:t>2</w:t>
            </w:r>
          </w:p>
        </w:tc>
        <w:tc>
          <w:tcPr>
            <w:tcW w:w="2160" w:type="dxa"/>
            <w:tcBorders>
              <w:right w:val="single" w:sz="4" w:space="0" w:color="auto"/>
            </w:tcBorders>
          </w:tcPr>
          <w:p w:rsidR="00C11A95" w:rsidRPr="00D433B4" w:rsidRDefault="00C11A95" w:rsidP="00F86237">
            <w:pPr>
              <w:jc w:val="center"/>
              <w:rPr>
                <w:sz w:val="20"/>
              </w:rPr>
            </w:pPr>
            <w:r>
              <w:rPr>
                <w:sz w:val="20"/>
              </w:rPr>
              <w:t>5</w:t>
            </w:r>
          </w:p>
        </w:tc>
      </w:tr>
      <w:tr w:rsidR="00C11A95" w:rsidRPr="009D7FB3" w:rsidTr="007B737D">
        <w:tc>
          <w:tcPr>
            <w:tcW w:w="5328" w:type="dxa"/>
            <w:tcBorders>
              <w:left w:val="single" w:sz="4" w:space="0" w:color="auto"/>
              <w:bottom w:val="single" w:sz="4" w:space="0" w:color="auto"/>
            </w:tcBorders>
          </w:tcPr>
          <w:p w:rsidR="00C11A95" w:rsidRPr="00D433B4" w:rsidRDefault="00C11A95">
            <w:pPr>
              <w:rPr>
                <w:sz w:val="20"/>
              </w:rPr>
            </w:pPr>
            <w:r w:rsidRPr="00D433B4">
              <w:rPr>
                <w:sz w:val="20"/>
              </w:rPr>
              <w:t xml:space="preserve">   Other</w:t>
            </w:r>
          </w:p>
        </w:tc>
        <w:tc>
          <w:tcPr>
            <w:tcW w:w="1260" w:type="dxa"/>
            <w:tcBorders>
              <w:bottom w:val="single" w:sz="4" w:space="0" w:color="auto"/>
            </w:tcBorders>
          </w:tcPr>
          <w:p w:rsidR="00C11A95" w:rsidRPr="00D433B4" w:rsidRDefault="00C11A95" w:rsidP="00B5689B">
            <w:pPr>
              <w:jc w:val="center"/>
              <w:rPr>
                <w:sz w:val="20"/>
              </w:rPr>
            </w:pPr>
            <w:r w:rsidRPr="00D433B4">
              <w:rPr>
                <w:sz w:val="20"/>
              </w:rPr>
              <w:t>5</w:t>
            </w:r>
          </w:p>
        </w:tc>
        <w:tc>
          <w:tcPr>
            <w:tcW w:w="2160" w:type="dxa"/>
            <w:tcBorders>
              <w:bottom w:val="single" w:sz="4" w:space="0" w:color="auto"/>
              <w:right w:val="single" w:sz="4" w:space="0" w:color="auto"/>
            </w:tcBorders>
          </w:tcPr>
          <w:p w:rsidR="00C11A95" w:rsidRPr="00D433B4" w:rsidRDefault="00C11A95" w:rsidP="00F86237">
            <w:pPr>
              <w:jc w:val="center"/>
              <w:rPr>
                <w:sz w:val="20"/>
              </w:rPr>
            </w:pPr>
            <w:r w:rsidRPr="00D433B4">
              <w:rPr>
                <w:sz w:val="20"/>
              </w:rPr>
              <w:t>13</w:t>
            </w:r>
          </w:p>
        </w:tc>
      </w:tr>
      <w:tr w:rsidR="00C11A95" w:rsidRPr="009D7FB3" w:rsidTr="007B737D">
        <w:tc>
          <w:tcPr>
            <w:tcW w:w="8748" w:type="dxa"/>
            <w:gridSpan w:val="3"/>
            <w:tcBorders>
              <w:top w:val="single" w:sz="4" w:space="0" w:color="auto"/>
              <w:left w:val="single" w:sz="4" w:space="0" w:color="auto"/>
              <w:bottom w:val="single" w:sz="4" w:space="0" w:color="auto"/>
              <w:right w:val="single" w:sz="4" w:space="0" w:color="auto"/>
            </w:tcBorders>
            <w:shd w:val="clear" w:color="auto" w:fill="D9D9D9"/>
          </w:tcPr>
          <w:p w:rsidR="00C11A95" w:rsidRPr="009D78D8" w:rsidRDefault="00C11A95" w:rsidP="009D78D8">
            <w:pPr>
              <w:rPr>
                <w:b/>
                <w:sz w:val="20"/>
              </w:rPr>
            </w:pPr>
            <w:r w:rsidRPr="009D78D8">
              <w:rPr>
                <w:b/>
                <w:sz w:val="20"/>
              </w:rPr>
              <w:t>Incident descriptors</w:t>
            </w:r>
          </w:p>
        </w:tc>
      </w:tr>
      <w:tr w:rsidR="00C11A95" w:rsidRPr="009D7FB3" w:rsidTr="007B737D">
        <w:tc>
          <w:tcPr>
            <w:tcW w:w="5328" w:type="dxa"/>
            <w:tcBorders>
              <w:top w:val="single" w:sz="4" w:space="0" w:color="auto"/>
              <w:left w:val="single" w:sz="4" w:space="0" w:color="auto"/>
            </w:tcBorders>
          </w:tcPr>
          <w:p w:rsidR="00C11A95" w:rsidRPr="00D433B4" w:rsidRDefault="00C11A95">
            <w:pPr>
              <w:rPr>
                <w:sz w:val="20"/>
              </w:rPr>
            </w:pPr>
            <w:r w:rsidRPr="00D433B4">
              <w:rPr>
                <w:sz w:val="20"/>
              </w:rPr>
              <w:t xml:space="preserve">Narrative description of incident </w:t>
            </w:r>
          </w:p>
        </w:tc>
        <w:tc>
          <w:tcPr>
            <w:tcW w:w="1260" w:type="dxa"/>
            <w:tcBorders>
              <w:top w:val="single" w:sz="4" w:space="0" w:color="auto"/>
            </w:tcBorders>
          </w:tcPr>
          <w:p w:rsidR="00C11A95" w:rsidRPr="00D433B4" w:rsidRDefault="00C11A95" w:rsidP="00B5689B">
            <w:pPr>
              <w:jc w:val="center"/>
              <w:rPr>
                <w:sz w:val="20"/>
              </w:rPr>
            </w:pPr>
            <w:r w:rsidRPr="00D433B4">
              <w:rPr>
                <w:sz w:val="20"/>
              </w:rPr>
              <w:t>7</w:t>
            </w:r>
          </w:p>
        </w:tc>
        <w:tc>
          <w:tcPr>
            <w:tcW w:w="2160" w:type="dxa"/>
            <w:tcBorders>
              <w:top w:val="single" w:sz="4" w:space="0" w:color="auto"/>
              <w:right w:val="single" w:sz="4" w:space="0" w:color="auto"/>
            </w:tcBorders>
          </w:tcPr>
          <w:p w:rsidR="00C11A95" w:rsidRPr="00D433B4" w:rsidRDefault="00C11A95" w:rsidP="00F86237">
            <w:pPr>
              <w:jc w:val="center"/>
              <w:rPr>
                <w:sz w:val="20"/>
              </w:rPr>
            </w:pPr>
            <w:r w:rsidRPr="00D433B4">
              <w:rPr>
                <w:sz w:val="20"/>
              </w:rPr>
              <w:t>18</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Date of incident</w:t>
            </w:r>
          </w:p>
        </w:tc>
        <w:tc>
          <w:tcPr>
            <w:tcW w:w="1260" w:type="dxa"/>
          </w:tcPr>
          <w:p w:rsidR="00C11A95" w:rsidRPr="00D433B4" w:rsidRDefault="00C11A95" w:rsidP="00B5689B">
            <w:pPr>
              <w:jc w:val="center"/>
              <w:rPr>
                <w:sz w:val="20"/>
              </w:rPr>
            </w:pPr>
            <w:r w:rsidRPr="00D433B4">
              <w:rPr>
                <w:sz w:val="20"/>
              </w:rPr>
              <w:t>15</w:t>
            </w:r>
          </w:p>
        </w:tc>
        <w:tc>
          <w:tcPr>
            <w:tcW w:w="2160" w:type="dxa"/>
            <w:tcBorders>
              <w:right w:val="single" w:sz="4" w:space="0" w:color="auto"/>
            </w:tcBorders>
          </w:tcPr>
          <w:p w:rsidR="00C11A95" w:rsidRPr="00D433B4" w:rsidRDefault="00C11A95" w:rsidP="00F86237">
            <w:pPr>
              <w:jc w:val="center"/>
              <w:rPr>
                <w:sz w:val="20"/>
              </w:rPr>
            </w:pPr>
            <w:r w:rsidRPr="00D433B4">
              <w:rPr>
                <w:sz w:val="20"/>
              </w:rPr>
              <w:t>39</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Location of incident if different than employer address</w:t>
            </w:r>
          </w:p>
        </w:tc>
        <w:tc>
          <w:tcPr>
            <w:tcW w:w="1260" w:type="dxa"/>
          </w:tcPr>
          <w:p w:rsidR="00C11A95" w:rsidRPr="00D433B4" w:rsidRDefault="00C11A95" w:rsidP="00B5689B">
            <w:pPr>
              <w:jc w:val="center"/>
              <w:rPr>
                <w:sz w:val="20"/>
              </w:rPr>
            </w:pPr>
            <w:r w:rsidRPr="00D433B4">
              <w:rPr>
                <w:sz w:val="20"/>
              </w:rPr>
              <w:t>8</w:t>
            </w:r>
          </w:p>
        </w:tc>
        <w:tc>
          <w:tcPr>
            <w:tcW w:w="2160" w:type="dxa"/>
            <w:tcBorders>
              <w:right w:val="single" w:sz="4" w:space="0" w:color="auto"/>
            </w:tcBorders>
          </w:tcPr>
          <w:p w:rsidR="00C11A95" w:rsidRPr="00D433B4" w:rsidRDefault="00C11A95" w:rsidP="00F86237">
            <w:pPr>
              <w:jc w:val="center"/>
              <w:rPr>
                <w:sz w:val="20"/>
              </w:rPr>
            </w:pPr>
            <w:r w:rsidRPr="00D433B4">
              <w:rPr>
                <w:sz w:val="20"/>
              </w:rPr>
              <w:t>21</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Source narrative</w:t>
            </w:r>
          </w:p>
        </w:tc>
        <w:tc>
          <w:tcPr>
            <w:tcW w:w="1260" w:type="dxa"/>
          </w:tcPr>
          <w:p w:rsidR="00C11A95" w:rsidRPr="00D433B4" w:rsidRDefault="00C11A95" w:rsidP="00B5689B">
            <w:pPr>
              <w:jc w:val="center"/>
              <w:rPr>
                <w:sz w:val="20"/>
              </w:rPr>
            </w:pPr>
            <w:r w:rsidRPr="00D433B4">
              <w:rPr>
                <w:sz w:val="20"/>
              </w:rPr>
              <w:t>5</w:t>
            </w:r>
          </w:p>
        </w:tc>
        <w:tc>
          <w:tcPr>
            <w:tcW w:w="2160" w:type="dxa"/>
            <w:tcBorders>
              <w:right w:val="single" w:sz="4" w:space="0" w:color="auto"/>
            </w:tcBorders>
          </w:tcPr>
          <w:p w:rsidR="00C11A95" w:rsidRPr="00D433B4" w:rsidRDefault="00C11A95" w:rsidP="00F86237">
            <w:pPr>
              <w:jc w:val="center"/>
              <w:rPr>
                <w:sz w:val="20"/>
              </w:rPr>
            </w:pPr>
            <w:r w:rsidRPr="00D433B4">
              <w:rPr>
                <w:sz w:val="20"/>
              </w:rPr>
              <w:t>13</w:t>
            </w: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Source code:</w:t>
            </w:r>
          </w:p>
        </w:tc>
        <w:tc>
          <w:tcPr>
            <w:tcW w:w="1260" w:type="dxa"/>
          </w:tcPr>
          <w:p w:rsidR="00C11A95" w:rsidRPr="00D433B4" w:rsidRDefault="00C11A95" w:rsidP="00B5689B">
            <w:pPr>
              <w:jc w:val="center"/>
              <w:rPr>
                <w:sz w:val="20"/>
              </w:rPr>
            </w:pPr>
          </w:p>
        </w:tc>
        <w:tc>
          <w:tcPr>
            <w:tcW w:w="2160" w:type="dxa"/>
            <w:tcBorders>
              <w:right w:val="single" w:sz="4" w:space="0" w:color="auto"/>
            </w:tcBorders>
          </w:tcPr>
          <w:p w:rsidR="00C11A95" w:rsidRPr="00D433B4" w:rsidRDefault="00C11A95" w:rsidP="00F86237">
            <w:pPr>
              <w:jc w:val="center"/>
              <w:rPr>
                <w:sz w:val="20"/>
              </w:rPr>
            </w:pPr>
          </w:p>
        </w:tc>
      </w:tr>
      <w:tr w:rsidR="00C11A95" w:rsidRPr="009D7FB3" w:rsidTr="007B737D">
        <w:tc>
          <w:tcPr>
            <w:tcW w:w="5328" w:type="dxa"/>
            <w:tcBorders>
              <w:left w:val="single" w:sz="4" w:space="0" w:color="auto"/>
            </w:tcBorders>
          </w:tcPr>
          <w:p w:rsidR="00C11A95" w:rsidRPr="00D433B4" w:rsidRDefault="00C11A95">
            <w:pPr>
              <w:rPr>
                <w:sz w:val="20"/>
              </w:rPr>
            </w:pPr>
            <w:r w:rsidRPr="00D433B4">
              <w:rPr>
                <w:sz w:val="20"/>
              </w:rPr>
              <w:t xml:space="preserve">   OIIC</w:t>
            </w:r>
          </w:p>
        </w:tc>
        <w:tc>
          <w:tcPr>
            <w:tcW w:w="1260" w:type="dxa"/>
          </w:tcPr>
          <w:p w:rsidR="00C11A95" w:rsidRPr="00D433B4" w:rsidRDefault="00C11A95" w:rsidP="00B5689B">
            <w:pPr>
              <w:jc w:val="center"/>
              <w:rPr>
                <w:sz w:val="20"/>
              </w:rPr>
            </w:pPr>
            <w:r w:rsidRPr="00D433B4">
              <w:rPr>
                <w:sz w:val="20"/>
              </w:rPr>
              <w:t>5</w:t>
            </w:r>
          </w:p>
        </w:tc>
        <w:tc>
          <w:tcPr>
            <w:tcW w:w="2160" w:type="dxa"/>
            <w:tcBorders>
              <w:right w:val="single" w:sz="4" w:space="0" w:color="auto"/>
            </w:tcBorders>
          </w:tcPr>
          <w:p w:rsidR="00C11A95" w:rsidRPr="00D433B4" w:rsidRDefault="00C11A95" w:rsidP="00F86237">
            <w:pPr>
              <w:jc w:val="center"/>
              <w:rPr>
                <w:sz w:val="20"/>
              </w:rPr>
            </w:pPr>
            <w:r w:rsidRPr="00D433B4">
              <w:rPr>
                <w:sz w:val="20"/>
              </w:rPr>
              <w:t>13</w:t>
            </w:r>
          </w:p>
        </w:tc>
      </w:tr>
      <w:tr w:rsidR="00C11A95" w:rsidRPr="009D7FB3" w:rsidTr="007B737D">
        <w:tc>
          <w:tcPr>
            <w:tcW w:w="5328" w:type="dxa"/>
            <w:tcBorders>
              <w:left w:val="single" w:sz="4" w:space="0" w:color="auto"/>
              <w:bottom w:val="single" w:sz="4" w:space="0" w:color="auto"/>
            </w:tcBorders>
          </w:tcPr>
          <w:p w:rsidR="00C11A95" w:rsidRPr="00D433B4" w:rsidRDefault="00C11A95">
            <w:pPr>
              <w:rPr>
                <w:sz w:val="20"/>
              </w:rPr>
            </w:pPr>
            <w:r w:rsidRPr="00D433B4">
              <w:rPr>
                <w:sz w:val="20"/>
              </w:rPr>
              <w:t xml:space="preserve">   Other</w:t>
            </w:r>
          </w:p>
        </w:tc>
        <w:tc>
          <w:tcPr>
            <w:tcW w:w="1260" w:type="dxa"/>
            <w:tcBorders>
              <w:bottom w:val="single" w:sz="4" w:space="0" w:color="auto"/>
            </w:tcBorders>
          </w:tcPr>
          <w:p w:rsidR="00C11A95" w:rsidRPr="00D433B4" w:rsidRDefault="00C11A95" w:rsidP="00B5689B">
            <w:pPr>
              <w:jc w:val="center"/>
              <w:rPr>
                <w:sz w:val="20"/>
              </w:rPr>
            </w:pPr>
            <w:r w:rsidRPr="00D433B4">
              <w:rPr>
                <w:sz w:val="20"/>
              </w:rPr>
              <w:t>3</w:t>
            </w:r>
          </w:p>
        </w:tc>
        <w:tc>
          <w:tcPr>
            <w:tcW w:w="2160" w:type="dxa"/>
            <w:tcBorders>
              <w:bottom w:val="single" w:sz="4" w:space="0" w:color="auto"/>
              <w:right w:val="single" w:sz="4" w:space="0" w:color="auto"/>
            </w:tcBorders>
          </w:tcPr>
          <w:p w:rsidR="00C11A95" w:rsidRPr="00D433B4" w:rsidRDefault="00C11A95" w:rsidP="00F86237">
            <w:pPr>
              <w:jc w:val="center"/>
              <w:rPr>
                <w:sz w:val="20"/>
              </w:rPr>
            </w:pPr>
            <w:r>
              <w:rPr>
                <w:sz w:val="20"/>
              </w:rPr>
              <w:t>8</w:t>
            </w:r>
          </w:p>
        </w:tc>
      </w:tr>
    </w:tbl>
    <w:p w:rsidR="00C11A95" w:rsidRDefault="00C11A95" w:rsidP="000C0A58">
      <w:pPr>
        <w:rPr>
          <w:b/>
        </w:rPr>
      </w:pPr>
    </w:p>
    <w:p w:rsidR="00C11A95" w:rsidRPr="00D433B4" w:rsidRDefault="00C11A95" w:rsidP="000C0A58">
      <w:pPr>
        <w:rPr>
          <w:b/>
        </w:rPr>
      </w:pPr>
      <w:r w:rsidRPr="00D433B4">
        <w:rPr>
          <w:b/>
        </w:rPr>
        <w:lastRenderedPageBreak/>
        <w:t xml:space="preserve">Information on dollar amounts awarded to workers </w:t>
      </w:r>
    </w:p>
    <w:p w:rsidR="00C11A95" w:rsidRPr="00D433B4" w:rsidRDefault="00C11A95" w:rsidP="00ED73B0">
      <w:pPr>
        <w:numPr>
          <w:ilvl w:val="0"/>
          <w:numId w:val="11"/>
        </w:numPr>
        <w:tabs>
          <w:tab w:val="num" w:pos="540"/>
        </w:tabs>
        <w:ind w:left="540"/>
      </w:pPr>
      <w:r w:rsidRPr="00D433B4">
        <w:t>Six (16%) states have access to information on the dollar amount awarded.</w:t>
      </w:r>
    </w:p>
    <w:p w:rsidR="00C11A95" w:rsidRPr="00D433B4" w:rsidRDefault="00C11A95" w:rsidP="00ED73B0">
      <w:pPr>
        <w:numPr>
          <w:ilvl w:val="0"/>
          <w:numId w:val="11"/>
        </w:numPr>
        <w:tabs>
          <w:tab w:val="num" w:pos="540"/>
        </w:tabs>
        <w:ind w:left="540"/>
      </w:pPr>
      <w:r w:rsidRPr="00D433B4">
        <w:t>Ten (26%) states have no information about the dollars awarded.</w:t>
      </w:r>
    </w:p>
    <w:p w:rsidR="00C11A95" w:rsidRPr="00D433B4" w:rsidRDefault="00C11A95" w:rsidP="00ED73B0">
      <w:pPr>
        <w:numPr>
          <w:ilvl w:val="0"/>
          <w:numId w:val="11"/>
        </w:numPr>
        <w:tabs>
          <w:tab w:val="num" w:pos="540"/>
        </w:tabs>
        <w:ind w:left="540"/>
        <w:rPr>
          <w:b/>
        </w:rPr>
      </w:pPr>
      <w:r w:rsidRPr="00D433B4">
        <w:t>Two (11%) states with access to WC data didn</w:t>
      </w:r>
      <w:r w:rsidRPr="00393513">
        <w:t>’</w:t>
      </w:r>
      <w:r w:rsidRPr="00D433B4">
        <w:t>t answer the question.</w:t>
      </w:r>
      <w:r w:rsidRPr="00D433B4">
        <w:rPr>
          <w:b/>
        </w:rPr>
        <w:t xml:space="preserve"> </w:t>
      </w:r>
    </w:p>
    <w:p w:rsidR="00C11A95" w:rsidRPr="00D433B4" w:rsidRDefault="00C11A95" w:rsidP="000C0A58">
      <w:pPr>
        <w:tabs>
          <w:tab w:val="num" w:pos="540"/>
        </w:tabs>
        <w:ind w:left="-540" w:hanging="180"/>
        <w:rPr>
          <w:b/>
        </w:rPr>
      </w:pPr>
    </w:p>
    <w:p w:rsidR="00C11A95" w:rsidRPr="00D433B4" w:rsidRDefault="00C11A95" w:rsidP="000C0A58">
      <w:r w:rsidRPr="00D433B4">
        <w:rPr>
          <w:b/>
        </w:rPr>
        <w:t>How state public health agencies are using WC data</w:t>
      </w:r>
      <w:r w:rsidRPr="00871B81">
        <w:rPr>
          <w:rStyle w:val="FootnoteReference"/>
          <w:b/>
        </w:rPr>
        <w:footnoteReference w:id="6"/>
      </w:r>
      <w:r w:rsidRPr="00D433B4">
        <w:rPr>
          <w:b/>
        </w:rPr>
        <w:t xml:space="preserve"> </w:t>
      </w:r>
      <w:r w:rsidRPr="00D433B4">
        <w:t xml:space="preserve"> </w:t>
      </w:r>
    </w:p>
    <w:p w:rsidR="00C11A95" w:rsidRPr="00D433B4" w:rsidRDefault="00C11A95" w:rsidP="00ED73B0">
      <w:pPr>
        <w:numPr>
          <w:ilvl w:val="0"/>
          <w:numId w:val="12"/>
        </w:numPr>
        <w:tabs>
          <w:tab w:val="clear" w:pos="1800"/>
          <w:tab w:val="num" w:pos="-720"/>
          <w:tab w:val="num" w:pos="720"/>
        </w:tabs>
        <w:ind w:left="720"/>
      </w:pPr>
      <w:r w:rsidRPr="00D433B4">
        <w:t>Eleven (29%) states use data for Occupational Health Indicators.</w:t>
      </w:r>
    </w:p>
    <w:p w:rsidR="00C11A95" w:rsidRPr="00D433B4" w:rsidRDefault="00C11A95" w:rsidP="00ED73B0">
      <w:pPr>
        <w:numPr>
          <w:ilvl w:val="0"/>
          <w:numId w:val="12"/>
        </w:numPr>
        <w:tabs>
          <w:tab w:val="clear" w:pos="1800"/>
          <w:tab w:val="num" w:pos="-720"/>
          <w:tab w:val="num" w:pos="720"/>
        </w:tabs>
        <w:ind w:left="720"/>
      </w:pPr>
      <w:r w:rsidRPr="00D433B4">
        <w:t>Five (13%) states use data for individual case follow-up.</w:t>
      </w:r>
    </w:p>
    <w:p w:rsidR="00C11A95" w:rsidRPr="00D433B4" w:rsidRDefault="00C11A95" w:rsidP="00ED73B0">
      <w:pPr>
        <w:numPr>
          <w:ilvl w:val="0"/>
          <w:numId w:val="12"/>
        </w:numPr>
        <w:tabs>
          <w:tab w:val="clear" w:pos="1800"/>
          <w:tab w:val="num" w:pos="-720"/>
          <w:tab w:val="num" w:pos="720"/>
        </w:tabs>
        <w:ind w:left="720"/>
      </w:pPr>
      <w:r w:rsidRPr="00D433B4">
        <w:t>Nine (24%) states use data for routine summary data analysis.</w:t>
      </w:r>
    </w:p>
    <w:p w:rsidR="00C11A95" w:rsidRPr="00D433B4" w:rsidRDefault="00C11A95" w:rsidP="00ED73B0">
      <w:pPr>
        <w:numPr>
          <w:ilvl w:val="0"/>
          <w:numId w:val="12"/>
        </w:numPr>
        <w:tabs>
          <w:tab w:val="clear" w:pos="1800"/>
          <w:tab w:val="num" w:pos="-720"/>
          <w:tab w:val="num" w:pos="720"/>
        </w:tabs>
        <w:ind w:left="720"/>
      </w:pPr>
      <w:r w:rsidRPr="00D433B4">
        <w:t>Ten (26%) states use data for periodic special studies of select populations or health conditions.</w:t>
      </w:r>
    </w:p>
    <w:p w:rsidR="00C11A95" w:rsidRPr="00D433B4" w:rsidRDefault="00C11A95" w:rsidP="00ED73B0">
      <w:pPr>
        <w:numPr>
          <w:ilvl w:val="0"/>
          <w:numId w:val="12"/>
        </w:numPr>
        <w:tabs>
          <w:tab w:val="clear" w:pos="1800"/>
          <w:tab w:val="num" w:pos="-720"/>
          <w:tab w:val="num" w:pos="720"/>
        </w:tabs>
        <w:ind w:left="720"/>
      </w:pPr>
      <w:r w:rsidRPr="00D433B4">
        <w:t>Eight (21%) use data in multisource surveillance of targeted conditions</w:t>
      </w:r>
    </w:p>
    <w:p w:rsidR="00C11A95" w:rsidRPr="00D433B4" w:rsidRDefault="00C11A95" w:rsidP="00593D28">
      <w:pPr>
        <w:numPr>
          <w:ilvl w:val="0"/>
          <w:numId w:val="12"/>
        </w:numPr>
        <w:tabs>
          <w:tab w:val="clear" w:pos="1800"/>
          <w:tab w:val="num" w:pos="1260"/>
        </w:tabs>
        <w:ind w:left="1260"/>
      </w:pPr>
      <w:r w:rsidRPr="00D433B4">
        <w:t xml:space="preserve">One state reported using as a source of information for their Bureau of Labor Statistics </w:t>
      </w:r>
      <w:r w:rsidRPr="00393513">
        <w:t>–</w:t>
      </w:r>
      <w:r w:rsidRPr="00D433B4">
        <w:t xml:space="preserve"> Census of Fatal Occupational Injuries program. </w:t>
      </w:r>
    </w:p>
    <w:p w:rsidR="00C11A95" w:rsidRPr="00D433B4" w:rsidRDefault="00C11A95" w:rsidP="00D433B4"/>
    <w:p w:rsidR="00C11A95" w:rsidRPr="00D433B4" w:rsidRDefault="00C11A95" w:rsidP="00693317">
      <w:pPr>
        <w:rPr>
          <w:b/>
        </w:rPr>
      </w:pPr>
      <w:r w:rsidRPr="00D433B4">
        <w:rPr>
          <w:b/>
        </w:rPr>
        <w:t xml:space="preserve">Barriers to using WC data for occupational health surveillance </w:t>
      </w:r>
    </w:p>
    <w:p w:rsidR="00C11A95" w:rsidRPr="00D433B4" w:rsidRDefault="00C11A95" w:rsidP="00693317">
      <w:r w:rsidRPr="00D433B4">
        <w:t xml:space="preserve">The most highly ranked barrier to using WC data was limited resources, followed closely by “missing </w:t>
      </w:r>
      <w:r>
        <w:t xml:space="preserve">key data elements.” Data </w:t>
      </w:r>
      <w:proofErr w:type="gramStart"/>
      <w:r>
        <w:t xml:space="preserve">quality </w:t>
      </w:r>
      <w:r w:rsidRPr="00D433B4">
        <w:t xml:space="preserve"> issues</w:t>
      </w:r>
      <w:proofErr w:type="gramEnd"/>
      <w:r>
        <w:t>,</w:t>
      </w:r>
      <w:r w:rsidRPr="00D433B4">
        <w:t xml:space="preserve"> and lack of understanding of the data were also relatively highly ranked barriers. </w:t>
      </w:r>
    </w:p>
    <w:p w:rsidR="00C11A95" w:rsidRPr="00D433B4" w:rsidRDefault="00C11A95" w:rsidP="00693317"/>
    <w:p w:rsidR="00C11A95" w:rsidRPr="00D433B4" w:rsidRDefault="00C11A95" w:rsidP="00693317">
      <w:pPr>
        <w:rPr>
          <w:b/>
        </w:rPr>
      </w:pPr>
      <w:r w:rsidRPr="00D433B4">
        <w:rPr>
          <w:b/>
        </w:rPr>
        <w:t xml:space="preserve">Suggestions for improving use of WC data by state public health agencies  </w:t>
      </w:r>
    </w:p>
    <w:p w:rsidR="00C11A95" w:rsidRPr="00D433B4" w:rsidRDefault="00C11A95" w:rsidP="00226514">
      <w:pPr>
        <w:numPr>
          <w:ilvl w:val="0"/>
          <w:numId w:val="21"/>
        </w:numPr>
        <w:tabs>
          <w:tab w:val="clear" w:pos="2160"/>
          <w:tab w:val="num" w:pos="720"/>
        </w:tabs>
        <w:ind w:left="720"/>
      </w:pPr>
      <w:r w:rsidRPr="00D433B4">
        <w:t>Seven states</w:t>
      </w:r>
      <w:r>
        <w:t xml:space="preserve"> </w:t>
      </w:r>
      <w:r w:rsidRPr="00D433B4">
        <w:t>(18%)</w:t>
      </w:r>
      <w:r>
        <w:t xml:space="preserve"> </w:t>
      </w:r>
      <w:r w:rsidRPr="00D433B4">
        <w:t>requested assistance in engaging the WC agencies in order to access or maximize use of the WC data.</w:t>
      </w:r>
      <w:r w:rsidRPr="00A7093C">
        <w:t xml:space="preserve"> </w:t>
      </w:r>
      <w:r>
        <w:t xml:space="preserve"> All but one of these seven states </w:t>
      </w:r>
      <w:proofErr w:type="gramStart"/>
      <w:r>
        <w:t>were</w:t>
      </w:r>
      <w:proofErr w:type="gramEnd"/>
      <w:r>
        <w:t xml:space="preserve"> states without access to electronic WC data. </w:t>
      </w:r>
      <w:r w:rsidRPr="00A7093C">
        <w:t>Several</w:t>
      </w:r>
      <w:r w:rsidRPr="00D433B4">
        <w:t xml:space="preserve"> emphasized the importance of demonstrating a business case and rational for using the data from a public health perspective. “Describing suc</w:t>
      </w:r>
      <w:r>
        <w:t>cess stories in other states that</w:t>
      </w:r>
      <w:r w:rsidRPr="00D433B4">
        <w:t xml:space="preserve"> were able to access and use the data would be useful. “We also must explain the benefit the WC agency would get from sharing the data.”  Two </w:t>
      </w:r>
      <w:r>
        <w:t xml:space="preserve">of the </w:t>
      </w:r>
      <w:r w:rsidRPr="00D433B4">
        <w:t>states</w:t>
      </w:r>
      <w:r w:rsidRPr="00A7093C">
        <w:t xml:space="preserve"> </w:t>
      </w:r>
      <w:r>
        <w:t>without access</w:t>
      </w:r>
      <w:r w:rsidRPr="00D433B4">
        <w:t xml:space="preserve"> suggested actively educating WC agencies about use of the data for prevention purposes, for example, including WC agencies as well as public health contacts in a webinar on use of the data for prevention.   </w:t>
      </w:r>
    </w:p>
    <w:p w:rsidR="00C11A95" w:rsidRPr="00D433B4" w:rsidRDefault="00C11A95" w:rsidP="00520658">
      <w:pPr>
        <w:numPr>
          <w:ilvl w:val="0"/>
          <w:numId w:val="21"/>
        </w:numPr>
        <w:tabs>
          <w:tab w:val="clear" w:pos="2160"/>
          <w:tab w:val="num" w:pos="720"/>
        </w:tabs>
        <w:ind w:left="720"/>
      </w:pPr>
      <w:r w:rsidRPr="00D433B4">
        <w:t>Four states (11</w:t>
      </w:r>
      <w:r w:rsidRPr="00A7093C">
        <w:t>%)</w:t>
      </w:r>
      <w:r>
        <w:t xml:space="preserve">, all of which had access to the WC data, </w:t>
      </w:r>
      <w:r w:rsidRPr="00D433B4">
        <w:t>reported that additional training on methods and examples of how to analyze and use WC data would be beneficial to their health agency. One state suggested that one-on-one technical assistance would be useful.  “We need help in looking at the data and figuring out how to use it.”</w:t>
      </w:r>
    </w:p>
    <w:p w:rsidR="00C11A95" w:rsidRPr="00D433B4" w:rsidRDefault="00C11A95" w:rsidP="00520658">
      <w:pPr>
        <w:numPr>
          <w:ilvl w:val="0"/>
          <w:numId w:val="21"/>
        </w:numPr>
        <w:tabs>
          <w:tab w:val="clear" w:pos="2160"/>
          <w:tab w:val="num" w:pos="720"/>
        </w:tabs>
        <w:ind w:left="720"/>
      </w:pPr>
      <w:r w:rsidRPr="00D433B4">
        <w:t xml:space="preserve">Two states suggested help with standardized coding of the variables, one of which asked for NIOSH coding of industry and occupation. One state suggested seed funding would be helpful for converting their existing system into a fully electronic system, and one additional state would like CSTE to assist them by providing legal guidance on how to overcome confidentiality barriers in WC statutes.    </w:t>
      </w:r>
    </w:p>
    <w:p w:rsidR="00C11A95" w:rsidRPr="00D433B4" w:rsidRDefault="00C11A95" w:rsidP="00226514"/>
    <w:p w:rsidR="00C11A95" w:rsidRDefault="00C11A95" w:rsidP="005B3680">
      <w:pPr>
        <w:rPr>
          <w:b/>
        </w:rPr>
      </w:pPr>
    </w:p>
    <w:p w:rsidR="00C11A95" w:rsidRPr="00D433B4" w:rsidRDefault="00C11A95" w:rsidP="005B3680">
      <w:pPr>
        <w:rPr>
          <w:b/>
        </w:rPr>
      </w:pPr>
      <w:r w:rsidRPr="00D433B4">
        <w:rPr>
          <w:b/>
          <w:u w:val="single"/>
        </w:rPr>
        <w:lastRenderedPageBreak/>
        <w:t>Discussion</w:t>
      </w:r>
    </w:p>
    <w:p w:rsidR="00C11A95" w:rsidRPr="00D433B4" w:rsidRDefault="00C11A95" w:rsidP="005B3680">
      <w:r w:rsidRPr="00D433B4">
        <w:t>Close to half of the resp</w:t>
      </w:r>
      <w:r>
        <w:t>onding state public health agencies</w:t>
      </w:r>
      <w:r w:rsidRPr="00D433B4">
        <w:t xml:space="preserve"> have access to electronic WC data. This is a significant advance in occupational health surveillance in the states as WC data can be a valuable resource providing critical information for targeting state efforts to prevent work-related</w:t>
      </w:r>
      <w:r>
        <w:t xml:space="preserve"> injuries and illnesses. State h</w:t>
      </w:r>
      <w:r w:rsidRPr="00D433B4">
        <w:t xml:space="preserve">ealth departments can bring to bear their epidemiologic knowledge and skills to maximize use of this administrative data for surveillance and ultimately prevention purposes. </w:t>
      </w:r>
    </w:p>
    <w:p w:rsidR="00C11A95" w:rsidRPr="00D433B4" w:rsidRDefault="00C11A95" w:rsidP="005B3680"/>
    <w:p w:rsidR="00C11A95" w:rsidRPr="00D433B4" w:rsidRDefault="00C11A95" w:rsidP="005B3680">
      <w:r w:rsidRPr="00D433B4">
        <w:t xml:space="preserve">Notably WC claim data can add substantially to state specific information available from the Survey of Occupational Injuries and Illnesses (SOII).   SOII, at the state level, is limited by its relatively small sample size and often cannot provide detailed information by injury or industry characteristics. Also, in contrast to WC data, SOII data currently cannot be aggregated over years. </w:t>
      </w:r>
    </w:p>
    <w:p w:rsidR="00C11A95" w:rsidRPr="00D433B4" w:rsidRDefault="00C11A95" w:rsidP="005B3680"/>
    <w:p w:rsidR="00C11A95" w:rsidRPr="00D433B4" w:rsidRDefault="00C11A95" w:rsidP="005B3680">
      <w:r w:rsidRPr="00D433B4">
        <w:t>While assessment findings indicate that state public health agencies can use WC data for population-based surveillance and targeting, restrictions on data use appear to limit its utility for case-based surveillance and case follow-up with either workers or specific employers in many states. Ten of the 18 respondents with access to WC data can use the data for summary data analysis only; two additional states have restrictions on releasing names of employers to other agencies. Thus while the public health agencies in these two states may potentially conduct case or worksite follow-up, they cannot refer cases to enforcement agencies. This leaves only 6 public health agencies that can refer cases for enforcement. However, some state labor departments may have access to WC data for enforcement purposes. This remains to be investigated.</w:t>
      </w:r>
    </w:p>
    <w:p w:rsidR="00C11A95" w:rsidRPr="00D433B4" w:rsidRDefault="00C11A95" w:rsidP="005B3680"/>
    <w:p w:rsidR="00C11A95" w:rsidRPr="00D433B4" w:rsidRDefault="00C11A95" w:rsidP="005B3680">
      <w:r w:rsidRPr="00D433B4">
        <w:t xml:space="preserve">Another notable finding is that a number of state public health agencies do not appear to have sufficient information about the nature, quality and characteristics of the data to which they have access. WC systems are complicated systems, and they vary markedly by state.  It is important for epidemiologists using the data to work with the WC agency staff to develop a better understanding of the WC systems in their states and of the data to which they have access. CSTE should provide opportunities for states with more experience using WC data to teach other states about data issues and approaches to maximizing usefulness of WC data for prevention. CSTE should also work with states in developing materials or programs to engage their WC agencies by demonstrating the value of using the WC data for prevention.  </w:t>
      </w:r>
    </w:p>
    <w:p w:rsidR="00C11A95" w:rsidRPr="00D433B4" w:rsidRDefault="00C11A95" w:rsidP="005B3680"/>
    <w:p w:rsidR="00C11A95" w:rsidRPr="00D433B4" w:rsidRDefault="00C11A95" w:rsidP="005B3680">
      <w:r w:rsidRPr="00D433B4">
        <w:t>Finally it should be noted that there is substantial variation in the types of WC data to which the state publi</w:t>
      </w:r>
      <w:r>
        <w:t>c health agencies have access, f</w:t>
      </w:r>
      <w:r w:rsidRPr="00D433B4">
        <w:t>or example, all claims versus lost time only, awarded claims versus cl</w:t>
      </w:r>
      <w:r>
        <w:t>aims filed.  These differences i</w:t>
      </w:r>
      <w:r w:rsidRPr="00D433B4">
        <w:t xml:space="preserve">n what data can be accessed in different states plus known eligibility differences for WC in different states </w:t>
      </w:r>
      <w:r>
        <w:t>limits comparison of these data across states. No comparison of data between</w:t>
      </w:r>
      <w:r w:rsidRPr="00D433B4">
        <w:t xml:space="preserve"> states should be made without first taking into account what effects differences in access and eligibility have on the data being compared. </w:t>
      </w:r>
    </w:p>
    <w:p w:rsidR="00C11A95" w:rsidRPr="00D433B4" w:rsidRDefault="00C11A95" w:rsidP="005B3680">
      <w:pPr>
        <w:ind w:left="1440"/>
      </w:pPr>
    </w:p>
    <w:p w:rsidR="00A64192" w:rsidRDefault="00A64192" w:rsidP="00ED73B0">
      <w:pPr>
        <w:rPr>
          <w:b/>
          <w:i/>
        </w:rPr>
      </w:pPr>
    </w:p>
    <w:p w:rsidR="00A64192" w:rsidRDefault="00A64192" w:rsidP="00ED73B0">
      <w:pPr>
        <w:rPr>
          <w:b/>
          <w:i/>
        </w:rPr>
      </w:pPr>
    </w:p>
    <w:p w:rsidR="00C11A95" w:rsidRPr="00D433B4" w:rsidRDefault="00C11A95" w:rsidP="00ED73B0">
      <w:r w:rsidRPr="00D433B4">
        <w:rPr>
          <w:b/>
          <w:i/>
        </w:rPr>
        <w:lastRenderedPageBreak/>
        <w:t>Limitations</w:t>
      </w:r>
    </w:p>
    <w:p w:rsidR="00C11A95" w:rsidRPr="00D433B4" w:rsidRDefault="00C11A95" w:rsidP="005B3680">
      <w:r w:rsidRPr="00D433B4">
        <w:t>There are several limitations to this assessment which should be taken into account. First, 13 states, representing 11.5%</w:t>
      </w:r>
      <w:r w:rsidRPr="00393513">
        <w:rPr>
          <w:rStyle w:val="FootnoteReference"/>
        </w:rPr>
        <w:footnoteReference w:id="7"/>
      </w:r>
      <w:r w:rsidRPr="00D433B4">
        <w:t xml:space="preserve"> of the working population in the country, did not complete the survey. If none of the 13 non-responding states had access to WC data, then the percentage of health departments with access would be 35%. If all 13 states had access, than the percentage would be 61%. We suspect that the non-responding states are less likely either to have access or, if they have the legal right to the data, to actually access their state</w:t>
      </w:r>
      <w:r w:rsidRPr="00393513">
        <w:t>’</w:t>
      </w:r>
      <w:r w:rsidRPr="00D433B4">
        <w:t>s WC data and the true percentage with access to WC data is closer to 35%.  Secondly, only 23 states are funded by NIOSH to conduct occupational injury and illness surveillance that includes use of WC data. The assessment was sent to the individual responsible for the surveillance program in each of these states. In the other 28 states, it is possible the assessment did not reach the</w:t>
      </w:r>
      <w:r w:rsidRPr="00393513">
        <w:t> </w:t>
      </w:r>
      <w:r w:rsidRPr="00D433B4">
        <w:t xml:space="preserve">person in the state health department knowledgeable about WC data, and therefore the responses from these 28 states may not be accurate. </w:t>
      </w:r>
    </w:p>
    <w:p w:rsidR="00C11A95" w:rsidRPr="00D433B4" w:rsidRDefault="00C11A95" w:rsidP="005B3680">
      <w:pPr>
        <w:rPr>
          <w:color w:val="1F497D"/>
        </w:rPr>
      </w:pPr>
    </w:p>
    <w:p w:rsidR="00C11A95" w:rsidRPr="00C032A8" w:rsidRDefault="00C11A95" w:rsidP="00D41CAB">
      <w:r w:rsidRPr="00C032A8">
        <w:rPr>
          <w:b/>
        </w:rPr>
        <w:t xml:space="preserve">Acknowledgements:  </w:t>
      </w:r>
      <w:r w:rsidRPr="00C032A8">
        <w:t>The authors would like to thank Kimberly Miller, an intern at CSTE, who assisted with data analysis. This work was funded in part through a CSTE Cooperative Agreement with the National Institute for Occupational Safety and Health #</w:t>
      </w:r>
      <w:r w:rsidRPr="00C032A8">
        <w:rPr>
          <w:sz w:val="22"/>
          <w:szCs w:val="22"/>
        </w:rPr>
        <w:t>5R01OH010094.</w:t>
      </w:r>
      <w:r w:rsidRPr="00C032A8">
        <w:t xml:space="preserve">  </w:t>
      </w:r>
    </w:p>
    <w:sectPr w:rsidR="00C11A95" w:rsidRPr="00C032A8" w:rsidSect="00D212DF">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2F8" w:rsidRDefault="001202F8">
      <w:r>
        <w:separator/>
      </w:r>
    </w:p>
  </w:endnote>
  <w:endnote w:type="continuationSeparator" w:id="0">
    <w:p w:rsidR="001202F8" w:rsidRDefault="001202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2F8" w:rsidRDefault="001202F8" w:rsidP="007B31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02F8" w:rsidRDefault="001202F8" w:rsidP="00E12B0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2F8" w:rsidRDefault="001202F8" w:rsidP="007B31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66BE">
      <w:rPr>
        <w:rStyle w:val="PageNumber"/>
        <w:noProof/>
      </w:rPr>
      <w:t>1</w:t>
    </w:r>
    <w:r>
      <w:rPr>
        <w:rStyle w:val="PageNumber"/>
      </w:rPr>
      <w:fldChar w:fldCharType="end"/>
    </w:r>
  </w:p>
  <w:p w:rsidR="001202F8" w:rsidRDefault="001202F8" w:rsidP="00E12B0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2F8" w:rsidRDefault="001202F8">
      <w:r>
        <w:separator/>
      </w:r>
    </w:p>
  </w:footnote>
  <w:footnote w:type="continuationSeparator" w:id="0">
    <w:p w:rsidR="001202F8" w:rsidRDefault="001202F8">
      <w:r>
        <w:continuationSeparator/>
      </w:r>
    </w:p>
  </w:footnote>
  <w:footnote w:id="1">
    <w:p w:rsidR="001202F8" w:rsidRDefault="001202F8" w:rsidP="00B1774B">
      <w:pPr>
        <w:pStyle w:val="FootnoteText"/>
      </w:pPr>
      <w:r>
        <w:rPr>
          <w:rStyle w:val="FootnoteReference"/>
        </w:rPr>
        <w:footnoteRef/>
      </w:r>
      <w:r>
        <w:t xml:space="preserve"> </w:t>
      </w:r>
      <w:r w:rsidRPr="009E6BA1">
        <w:t xml:space="preserve">Note that </w:t>
      </w:r>
      <w:r>
        <w:t>s</w:t>
      </w:r>
      <w:r w:rsidRPr="009E6BA1">
        <w:t xml:space="preserve">tate </w:t>
      </w:r>
      <w:r>
        <w:t>WC</w:t>
      </w:r>
      <w:r w:rsidRPr="009E6BA1">
        <w:t xml:space="preserve"> systems do not provide information about injuries and illnesses among workers’ covered under other W</w:t>
      </w:r>
      <w:r>
        <w:t xml:space="preserve">C </w:t>
      </w:r>
      <w:r w:rsidRPr="009E6BA1">
        <w:t xml:space="preserve">systems  including federal workers covered under the Federal Employees Compensation Act (FECA),  workers covered under the </w:t>
      </w:r>
      <w:proofErr w:type="spellStart"/>
      <w:r w:rsidRPr="009E6BA1">
        <w:t>Longshore</w:t>
      </w:r>
      <w:proofErr w:type="spellEnd"/>
      <w:r w:rsidRPr="009E6BA1">
        <w:t xml:space="preserve"> and Harbor Workers Compensation Act (LHWCA),  workers covered by the Black Lung Benefit Program, former nuclear weapons workers covered under the Energy Employees Occupational Illness Compensation Program Act (EEOICPA), and interstate railroad workers covered under the Federal Employers Liability Act (FELA)</w:t>
      </w:r>
      <w:r>
        <w:t>.</w:t>
      </w:r>
    </w:p>
  </w:footnote>
  <w:footnote w:id="2">
    <w:p w:rsidR="001202F8" w:rsidRDefault="001202F8">
      <w:pPr>
        <w:pStyle w:val="FootnoteText"/>
      </w:pPr>
      <w:r>
        <w:rPr>
          <w:rStyle w:val="FootnoteReference"/>
        </w:rPr>
        <w:footnoteRef/>
      </w:r>
      <w:r>
        <w:t xml:space="preserve"> CSTE, in collaboration with NIOSH, maintains an updated list of occupational health contacts in state public health agencies. This list is available at: </w:t>
      </w:r>
      <w:hyperlink r:id="rId1" w:history="1">
        <w:r w:rsidRPr="00C16FE7">
          <w:rPr>
            <w:rStyle w:val="Hyperlink"/>
          </w:rPr>
          <w:t>www.cste.org</w:t>
        </w:r>
      </w:hyperlink>
      <w:r>
        <w:t xml:space="preserve">. </w:t>
      </w:r>
      <w:smartTag w:uri="urn:schemas-microsoft-com:office:smarttags" w:element="PlaceName">
        <w:smartTag w:uri="urn:schemas-microsoft-com:office:smarttags" w:element="place">
          <w:r w:rsidRPr="000A196E">
            <w:t>Washington</w:t>
          </w:r>
        </w:smartTag>
        <w:r w:rsidRPr="000A196E">
          <w:t xml:space="preserve"> </w:t>
        </w:r>
        <w:smartTag w:uri="urn:schemas-microsoft-com:office:smarttags" w:element="PlaceType">
          <w:r w:rsidRPr="000A196E">
            <w:t>State</w:t>
          </w:r>
        </w:smartTag>
      </w:smartTag>
      <w:r w:rsidRPr="000A196E">
        <w:t xml:space="preserve"> is an exception in which the lead contact for occupational health surveillance is in the Department of Labor and Industries.</w:t>
      </w:r>
      <w:r>
        <w:t xml:space="preserve"> </w:t>
      </w:r>
    </w:p>
  </w:footnote>
  <w:footnote w:id="3">
    <w:p w:rsidR="001202F8" w:rsidRDefault="001202F8">
      <w:pPr>
        <w:pStyle w:val="FootnoteText"/>
      </w:pPr>
      <w:r>
        <w:rPr>
          <w:rStyle w:val="FootnoteReference"/>
        </w:rPr>
        <w:footnoteRef/>
      </w:r>
      <w:r>
        <w:t xml:space="preserve"> One additional </w:t>
      </w:r>
      <w:r w:rsidRPr="00ED47AB">
        <w:t>state health department indicated</w:t>
      </w:r>
      <w:r>
        <w:t xml:space="preserve"> that it had access to WC claims only for workers in the health department.  </w:t>
      </w:r>
    </w:p>
  </w:footnote>
  <w:footnote w:id="4">
    <w:p w:rsidR="001202F8" w:rsidRDefault="001202F8">
      <w:pPr>
        <w:pStyle w:val="FootnoteText"/>
      </w:pPr>
      <w:r>
        <w:rPr>
          <w:rStyle w:val="FootnoteReference"/>
        </w:rPr>
        <w:footnoteRef/>
      </w:r>
      <w:r>
        <w:t xml:space="preserve"> </w:t>
      </w:r>
      <w:r w:rsidRPr="00A7093C">
        <w:t xml:space="preserve">States could select multiple answers to this question. </w:t>
      </w:r>
      <w:r>
        <w:t>Among the 20 states without access to electronic WC data, t</w:t>
      </w:r>
      <w:r w:rsidRPr="00A7093C">
        <w:t xml:space="preserve">here were 21 responses from 18 states. Two </w:t>
      </w:r>
      <w:r>
        <w:t xml:space="preserve">of the 20 </w:t>
      </w:r>
      <w:r w:rsidRPr="00A7093C">
        <w:t>states did not respond to this question.</w:t>
      </w:r>
    </w:p>
  </w:footnote>
  <w:footnote w:id="5">
    <w:p w:rsidR="001202F8" w:rsidRDefault="001202F8">
      <w:pPr>
        <w:pStyle w:val="FootnoteText"/>
      </w:pPr>
      <w:r>
        <w:rPr>
          <w:rStyle w:val="FootnoteReference"/>
        </w:rPr>
        <w:footnoteRef/>
      </w:r>
      <w:r>
        <w:t xml:space="preserve"> </w:t>
      </w:r>
      <w:r w:rsidRPr="000A196E">
        <w:t>These 12 included one state that reported “medical claims only” and another that reported access to “First Reports of Injury only” i.e. if state reported access to First Reports of Injury or medical claims only and no additional information was provided, it was assumed that they have access to information about all claims not just those resulting in lost time.</w:t>
      </w:r>
    </w:p>
  </w:footnote>
  <w:footnote w:id="6">
    <w:p w:rsidR="001202F8" w:rsidRDefault="001202F8" w:rsidP="001D53F5">
      <w:r>
        <w:rPr>
          <w:rStyle w:val="FootnoteReference"/>
        </w:rPr>
        <w:footnoteRef/>
      </w:r>
      <w:r>
        <w:t xml:space="preserve"> </w:t>
      </w:r>
      <w:r w:rsidRPr="001D53F5">
        <w:rPr>
          <w:sz w:val="20"/>
          <w:szCs w:val="20"/>
        </w:rPr>
        <w:t>States could select multiple answers to this question.</w:t>
      </w:r>
    </w:p>
  </w:footnote>
  <w:footnote w:id="7">
    <w:p w:rsidR="001202F8" w:rsidRDefault="001202F8" w:rsidP="00FD611C">
      <w:pPr>
        <w:pStyle w:val="FootnoteText"/>
      </w:pPr>
      <w:r>
        <w:rPr>
          <w:rStyle w:val="FootnoteReference"/>
        </w:rPr>
        <w:footnoteRef/>
      </w:r>
      <w:r>
        <w:t xml:space="preserve"> </w:t>
      </w:r>
      <w:r w:rsidRPr="006311F9">
        <w:t>Obtained from: 1) Bureau of Labor Statistics</w:t>
      </w:r>
      <w:r>
        <w:t>. Geographic Profile of Employment</w:t>
      </w:r>
    </w:p>
    <w:p w:rsidR="001202F8" w:rsidRDefault="001202F8" w:rsidP="00FD611C">
      <w:pPr>
        <w:pStyle w:val="FootnoteText"/>
      </w:pPr>
      <w:proofErr w:type="gramStart"/>
      <w:r>
        <w:t>and</w:t>
      </w:r>
      <w:proofErr w:type="gramEnd"/>
      <w:r>
        <w:t xml:space="preserve"> Unemployment, 2011. Available at: </w:t>
      </w:r>
      <w:hyperlink r:id="rId2" w:history="1">
        <w:r w:rsidRPr="00B125F3">
          <w:rPr>
            <w:rStyle w:val="Hyperlink"/>
          </w:rPr>
          <w:t>http://www.bls.gov/opub/gp/pdf/gp11full.pdf</w:t>
        </w:r>
      </w:hyperlink>
      <w:r>
        <w:t xml:space="preserve"> </w:t>
      </w:r>
      <w:r w:rsidRPr="006311F9">
        <w:t xml:space="preserve">(Accessed November 16, 2012). 2) Bureau of Labor Statistics. </w:t>
      </w:r>
      <w:proofErr w:type="gramStart"/>
      <w:r w:rsidRPr="006311F9">
        <w:rPr>
          <w:bCs/>
        </w:rPr>
        <w:t xml:space="preserve">Employment status of the civilian </w:t>
      </w:r>
      <w:proofErr w:type="spellStart"/>
      <w:r w:rsidRPr="006311F9">
        <w:rPr>
          <w:bCs/>
        </w:rPr>
        <w:t>noninstitutional</w:t>
      </w:r>
      <w:proofErr w:type="spellEnd"/>
      <w:r w:rsidRPr="006311F9">
        <w:rPr>
          <w:bCs/>
        </w:rPr>
        <w:t xml:space="preserve"> population, 1941 to date.</w:t>
      </w:r>
      <w:proofErr w:type="gramEnd"/>
      <w:r w:rsidRPr="006311F9">
        <w:rPr>
          <w:bCs/>
        </w:rPr>
        <w:t xml:space="preserve"> Available at: </w:t>
      </w:r>
      <w:hyperlink r:id="rId3" w:history="1">
        <w:r w:rsidRPr="006311F9">
          <w:rPr>
            <w:rStyle w:val="Hyperlink"/>
            <w:bCs/>
          </w:rPr>
          <w:t>http://www.bls.gov/cps/cpsaat01.pdf</w:t>
        </w:r>
      </w:hyperlink>
      <w:r w:rsidRPr="006311F9">
        <w:rPr>
          <w:bCs/>
        </w:rPr>
        <w:t xml:space="preserve"> (Accessed November 16, 2012).</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97C"/>
    <w:multiLevelType w:val="hybridMultilevel"/>
    <w:tmpl w:val="082E2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
    <w:nsid w:val="07376D5A"/>
    <w:multiLevelType w:val="hybridMultilevel"/>
    <w:tmpl w:val="DD2ECB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A1D367C"/>
    <w:multiLevelType w:val="hybridMultilevel"/>
    <w:tmpl w:val="CDC237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A85CC7"/>
    <w:multiLevelType w:val="hybridMultilevel"/>
    <w:tmpl w:val="2350128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nsid w:val="19C85384"/>
    <w:multiLevelType w:val="hybridMultilevel"/>
    <w:tmpl w:val="635AE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F9576E"/>
    <w:multiLevelType w:val="hybridMultilevel"/>
    <w:tmpl w:val="BFCED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241396"/>
    <w:multiLevelType w:val="hybridMultilevel"/>
    <w:tmpl w:val="2A72D10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nsid w:val="34415E61"/>
    <w:multiLevelType w:val="hybridMultilevel"/>
    <w:tmpl w:val="0CA2E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DAD61AF"/>
    <w:multiLevelType w:val="hybridMultilevel"/>
    <w:tmpl w:val="E2380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00D0557"/>
    <w:multiLevelType w:val="hybridMultilevel"/>
    <w:tmpl w:val="10D4F0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494C1F11"/>
    <w:multiLevelType w:val="multilevel"/>
    <w:tmpl w:val="49CEB1C8"/>
    <w:lvl w:ilvl="0">
      <w:start w:val="878"/>
      <w:numFmt w:val="bullet"/>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1">
    <w:nsid w:val="4F36051E"/>
    <w:multiLevelType w:val="hybridMultilevel"/>
    <w:tmpl w:val="DB4EE8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5CD70CE"/>
    <w:multiLevelType w:val="hybridMultilevel"/>
    <w:tmpl w:val="A2F4D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903001F"/>
    <w:multiLevelType w:val="hybridMultilevel"/>
    <w:tmpl w:val="89506D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857D0D"/>
    <w:multiLevelType w:val="hybridMultilevel"/>
    <w:tmpl w:val="622CC4C6"/>
    <w:lvl w:ilvl="0" w:tplc="BC7A3BE8">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E9A789A"/>
    <w:multiLevelType w:val="hybridMultilevel"/>
    <w:tmpl w:val="D3E695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18C7759"/>
    <w:multiLevelType w:val="hybridMultilevel"/>
    <w:tmpl w:val="CF12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C50CC5"/>
    <w:multiLevelType w:val="hybridMultilevel"/>
    <w:tmpl w:val="49CEB1C8"/>
    <w:lvl w:ilvl="0" w:tplc="40AA0920">
      <w:start w:val="878"/>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nsid w:val="63E5217E"/>
    <w:multiLevelType w:val="hybridMultilevel"/>
    <w:tmpl w:val="20A850E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6B40469D"/>
    <w:multiLevelType w:val="hybridMultilevel"/>
    <w:tmpl w:val="5BC4053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nsid w:val="6EC844D2"/>
    <w:multiLevelType w:val="hybridMultilevel"/>
    <w:tmpl w:val="1FB25B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705660E9"/>
    <w:multiLevelType w:val="hybridMultilevel"/>
    <w:tmpl w:val="993AD6A6"/>
    <w:lvl w:ilvl="0" w:tplc="D14E2374">
      <w:start w:val="9"/>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2">
    <w:nsid w:val="78DF49CE"/>
    <w:multiLevelType w:val="hybridMultilevel"/>
    <w:tmpl w:val="875083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CEC4A59"/>
    <w:multiLevelType w:val="hybridMultilevel"/>
    <w:tmpl w:val="D64A75F0"/>
    <w:lvl w:ilvl="0" w:tplc="BC7A3BE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0"/>
  </w:num>
  <w:num w:numId="2">
    <w:abstractNumId w:val="15"/>
  </w:num>
  <w:num w:numId="3">
    <w:abstractNumId w:val="2"/>
  </w:num>
  <w:num w:numId="4">
    <w:abstractNumId w:val="4"/>
  </w:num>
  <w:num w:numId="5">
    <w:abstractNumId w:val="8"/>
  </w:num>
  <w:num w:numId="6">
    <w:abstractNumId w:val="12"/>
  </w:num>
  <w:num w:numId="7">
    <w:abstractNumId w:val="1"/>
  </w:num>
  <w:num w:numId="8">
    <w:abstractNumId w:val="13"/>
  </w:num>
  <w:num w:numId="9">
    <w:abstractNumId w:val="9"/>
  </w:num>
  <w:num w:numId="10">
    <w:abstractNumId w:val="19"/>
  </w:num>
  <w:num w:numId="11">
    <w:abstractNumId w:val="3"/>
  </w:num>
  <w:num w:numId="12">
    <w:abstractNumId w:val="18"/>
  </w:num>
  <w:num w:numId="13">
    <w:abstractNumId w:val="6"/>
  </w:num>
  <w:num w:numId="14">
    <w:abstractNumId w:val="16"/>
  </w:num>
  <w:num w:numId="15">
    <w:abstractNumId w:val="7"/>
  </w:num>
  <w:num w:numId="16">
    <w:abstractNumId w:val="11"/>
  </w:num>
  <w:num w:numId="17">
    <w:abstractNumId w:val="22"/>
  </w:num>
  <w:num w:numId="18">
    <w:abstractNumId w:val="20"/>
  </w:num>
  <w:num w:numId="19">
    <w:abstractNumId w:val="21"/>
  </w:num>
  <w:num w:numId="20">
    <w:abstractNumId w:val="5"/>
  </w:num>
  <w:num w:numId="21">
    <w:abstractNumId w:val="14"/>
  </w:num>
  <w:num w:numId="22">
    <w:abstractNumId w:val="17"/>
  </w:num>
  <w:num w:numId="23">
    <w:abstractNumId w:val="10"/>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3868"/>
    <w:rsid w:val="000179F2"/>
    <w:rsid w:val="00024E60"/>
    <w:rsid w:val="000269BC"/>
    <w:rsid w:val="00027E19"/>
    <w:rsid w:val="00031560"/>
    <w:rsid w:val="0004411B"/>
    <w:rsid w:val="0004430C"/>
    <w:rsid w:val="000503F5"/>
    <w:rsid w:val="00056470"/>
    <w:rsid w:val="00064825"/>
    <w:rsid w:val="00065F49"/>
    <w:rsid w:val="0007356C"/>
    <w:rsid w:val="000804FA"/>
    <w:rsid w:val="000805C2"/>
    <w:rsid w:val="00083D3D"/>
    <w:rsid w:val="000855C0"/>
    <w:rsid w:val="000A196E"/>
    <w:rsid w:val="000A24D7"/>
    <w:rsid w:val="000A4796"/>
    <w:rsid w:val="000A49A2"/>
    <w:rsid w:val="000A4A28"/>
    <w:rsid w:val="000A5214"/>
    <w:rsid w:val="000B01D1"/>
    <w:rsid w:val="000C0A58"/>
    <w:rsid w:val="000C5E42"/>
    <w:rsid w:val="000D32FF"/>
    <w:rsid w:val="000D7D7A"/>
    <w:rsid w:val="000F796C"/>
    <w:rsid w:val="001015E4"/>
    <w:rsid w:val="00101996"/>
    <w:rsid w:val="00105EC7"/>
    <w:rsid w:val="001202F8"/>
    <w:rsid w:val="00122415"/>
    <w:rsid w:val="001228BD"/>
    <w:rsid w:val="00123B6E"/>
    <w:rsid w:val="00130097"/>
    <w:rsid w:val="00130FD3"/>
    <w:rsid w:val="00140A50"/>
    <w:rsid w:val="001467E8"/>
    <w:rsid w:val="00155915"/>
    <w:rsid w:val="00155D78"/>
    <w:rsid w:val="0016485C"/>
    <w:rsid w:val="0019118B"/>
    <w:rsid w:val="00192E8A"/>
    <w:rsid w:val="001931B0"/>
    <w:rsid w:val="00195E09"/>
    <w:rsid w:val="00197A45"/>
    <w:rsid w:val="001A00D8"/>
    <w:rsid w:val="001A3E2A"/>
    <w:rsid w:val="001B701C"/>
    <w:rsid w:val="001C0B0A"/>
    <w:rsid w:val="001C40C5"/>
    <w:rsid w:val="001D2BE8"/>
    <w:rsid w:val="001D2EF7"/>
    <w:rsid w:val="001D53F5"/>
    <w:rsid w:val="001D54FD"/>
    <w:rsid w:val="001D5C37"/>
    <w:rsid w:val="001D750E"/>
    <w:rsid w:val="001D797B"/>
    <w:rsid w:val="001F497F"/>
    <w:rsid w:val="00221CC2"/>
    <w:rsid w:val="002237FA"/>
    <w:rsid w:val="00226514"/>
    <w:rsid w:val="0023532A"/>
    <w:rsid w:val="00235ACE"/>
    <w:rsid w:val="0023631D"/>
    <w:rsid w:val="002376EA"/>
    <w:rsid w:val="0024270B"/>
    <w:rsid w:val="0026742C"/>
    <w:rsid w:val="00272047"/>
    <w:rsid w:val="00274CC2"/>
    <w:rsid w:val="00282356"/>
    <w:rsid w:val="00284B5C"/>
    <w:rsid w:val="00285B23"/>
    <w:rsid w:val="002B0A07"/>
    <w:rsid w:val="002B3E55"/>
    <w:rsid w:val="002C1985"/>
    <w:rsid w:val="002C42C1"/>
    <w:rsid w:val="002C6591"/>
    <w:rsid w:val="002C76EB"/>
    <w:rsid w:val="002D434F"/>
    <w:rsid w:val="002D5C6B"/>
    <w:rsid w:val="002E3921"/>
    <w:rsid w:val="002F446C"/>
    <w:rsid w:val="0030665F"/>
    <w:rsid w:val="0031333C"/>
    <w:rsid w:val="0032409C"/>
    <w:rsid w:val="003339CF"/>
    <w:rsid w:val="00334895"/>
    <w:rsid w:val="0034303F"/>
    <w:rsid w:val="00343EE1"/>
    <w:rsid w:val="00361580"/>
    <w:rsid w:val="00362B2E"/>
    <w:rsid w:val="00364F3C"/>
    <w:rsid w:val="00374C73"/>
    <w:rsid w:val="00382631"/>
    <w:rsid w:val="003841CB"/>
    <w:rsid w:val="00393513"/>
    <w:rsid w:val="00393795"/>
    <w:rsid w:val="00395EEA"/>
    <w:rsid w:val="00396DCB"/>
    <w:rsid w:val="003A5CF0"/>
    <w:rsid w:val="003B514B"/>
    <w:rsid w:val="003B559A"/>
    <w:rsid w:val="003B7F31"/>
    <w:rsid w:val="003C17B3"/>
    <w:rsid w:val="003C7519"/>
    <w:rsid w:val="003C77FF"/>
    <w:rsid w:val="003D189C"/>
    <w:rsid w:val="003E1FE4"/>
    <w:rsid w:val="003E4126"/>
    <w:rsid w:val="003F2ECF"/>
    <w:rsid w:val="003F6D02"/>
    <w:rsid w:val="003F7ACF"/>
    <w:rsid w:val="00411173"/>
    <w:rsid w:val="00414905"/>
    <w:rsid w:val="00414CC1"/>
    <w:rsid w:val="00420AE3"/>
    <w:rsid w:val="00427D02"/>
    <w:rsid w:val="00434889"/>
    <w:rsid w:val="00436BDC"/>
    <w:rsid w:val="00447633"/>
    <w:rsid w:val="0046420B"/>
    <w:rsid w:val="00482D7E"/>
    <w:rsid w:val="00485C24"/>
    <w:rsid w:val="00491AA4"/>
    <w:rsid w:val="004A278C"/>
    <w:rsid w:val="004A45F8"/>
    <w:rsid w:val="004B4738"/>
    <w:rsid w:val="004B53C7"/>
    <w:rsid w:val="004C0767"/>
    <w:rsid w:val="004C1712"/>
    <w:rsid w:val="004C21E4"/>
    <w:rsid w:val="004C79EA"/>
    <w:rsid w:val="004D34D1"/>
    <w:rsid w:val="004D632B"/>
    <w:rsid w:val="004E3958"/>
    <w:rsid w:val="004E4938"/>
    <w:rsid w:val="004F1F5B"/>
    <w:rsid w:val="004F2308"/>
    <w:rsid w:val="0050367A"/>
    <w:rsid w:val="00504573"/>
    <w:rsid w:val="005057F5"/>
    <w:rsid w:val="0050719A"/>
    <w:rsid w:val="00507AF8"/>
    <w:rsid w:val="00512E34"/>
    <w:rsid w:val="00513EF4"/>
    <w:rsid w:val="00514ECA"/>
    <w:rsid w:val="00520658"/>
    <w:rsid w:val="00524F6D"/>
    <w:rsid w:val="005310E6"/>
    <w:rsid w:val="00534A67"/>
    <w:rsid w:val="00540B5C"/>
    <w:rsid w:val="00550520"/>
    <w:rsid w:val="00553A6C"/>
    <w:rsid w:val="00553EB6"/>
    <w:rsid w:val="00567CA2"/>
    <w:rsid w:val="005779B4"/>
    <w:rsid w:val="005936E2"/>
    <w:rsid w:val="00593D28"/>
    <w:rsid w:val="00597E0F"/>
    <w:rsid w:val="005A2E38"/>
    <w:rsid w:val="005A2EDB"/>
    <w:rsid w:val="005A6A56"/>
    <w:rsid w:val="005B2486"/>
    <w:rsid w:val="005B3680"/>
    <w:rsid w:val="005C78CE"/>
    <w:rsid w:val="005D063C"/>
    <w:rsid w:val="005D5CBC"/>
    <w:rsid w:val="005D7E41"/>
    <w:rsid w:val="005F3C8A"/>
    <w:rsid w:val="005F3EC4"/>
    <w:rsid w:val="006034A9"/>
    <w:rsid w:val="00603CCF"/>
    <w:rsid w:val="00605F53"/>
    <w:rsid w:val="00614D46"/>
    <w:rsid w:val="006250B5"/>
    <w:rsid w:val="00630504"/>
    <w:rsid w:val="006311F9"/>
    <w:rsid w:val="00631A17"/>
    <w:rsid w:val="00633646"/>
    <w:rsid w:val="00647FBF"/>
    <w:rsid w:val="0066384F"/>
    <w:rsid w:val="00677F72"/>
    <w:rsid w:val="006811BB"/>
    <w:rsid w:val="006830E0"/>
    <w:rsid w:val="0068648B"/>
    <w:rsid w:val="00693317"/>
    <w:rsid w:val="006948D0"/>
    <w:rsid w:val="006A23C5"/>
    <w:rsid w:val="006A34EE"/>
    <w:rsid w:val="006B354B"/>
    <w:rsid w:val="006B43C3"/>
    <w:rsid w:val="006C0CFB"/>
    <w:rsid w:val="006C2688"/>
    <w:rsid w:val="006C6A9E"/>
    <w:rsid w:val="006C7FDC"/>
    <w:rsid w:val="006D170E"/>
    <w:rsid w:val="006D7F7E"/>
    <w:rsid w:val="006E01E4"/>
    <w:rsid w:val="006E1B9A"/>
    <w:rsid w:val="00717014"/>
    <w:rsid w:val="00717A8F"/>
    <w:rsid w:val="00717FB2"/>
    <w:rsid w:val="00723671"/>
    <w:rsid w:val="00733FB7"/>
    <w:rsid w:val="00750C81"/>
    <w:rsid w:val="00751313"/>
    <w:rsid w:val="007556DC"/>
    <w:rsid w:val="00756236"/>
    <w:rsid w:val="007574DF"/>
    <w:rsid w:val="00760048"/>
    <w:rsid w:val="0076457F"/>
    <w:rsid w:val="00780D44"/>
    <w:rsid w:val="007B284D"/>
    <w:rsid w:val="007B318C"/>
    <w:rsid w:val="007B49B3"/>
    <w:rsid w:val="007B5064"/>
    <w:rsid w:val="007B737D"/>
    <w:rsid w:val="007C06A8"/>
    <w:rsid w:val="007D107E"/>
    <w:rsid w:val="007F3BEA"/>
    <w:rsid w:val="007F790E"/>
    <w:rsid w:val="0080454C"/>
    <w:rsid w:val="00810246"/>
    <w:rsid w:val="00813EF8"/>
    <w:rsid w:val="00817757"/>
    <w:rsid w:val="00817786"/>
    <w:rsid w:val="00826090"/>
    <w:rsid w:val="00841B9D"/>
    <w:rsid w:val="00846190"/>
    <w:rsid w:val="00855A9B"/>
    <w:rsid w:val="00863A2E"/>
    <w:rsid w:val="00865E09"/>
    <w:rsid w:val="00871B81"/>
    <w:rsid w:val="00871E5F"/>
    <w:rsid w:val="008764FF"/>
    <w:rsid w:val="0087702F"/>
    <w:rsid w:val="00882F00"/>
    <w:rsid w:val="0089511C"/>
    <w:rsid w:val="00895895"/>
    <w:rsid w:val="008A386F"/>
    <w:rsid w:val="008A54B5"/>
    <w:rsid w:val="008A744D"/>
    <w:rsid w:val="008B0AF5"/>
    <w:rsid w:val="008B5B56"/>
    <w:rsid w:val="008B7FFE"/>
    <w:rsid w:val="008C2627"/>
    <w:rsid w:val="008D7D34"/>
    <w:rsid w:val="008E1ADF"/>
    <w:rsid w:val="00935F6B"/>
    <w:rsid w:val="00940CE8"/>
    <w:rsid w:val="00942A50"/>
    <w:rsid w:val="00946D56"/>
    <w:rsid w:val="00947A82"/>
    <w:rsid w:val="0097386C"/>
    <w:rsid w:val="00976E54"/>
    <w:rsid w:val="00985BEC"/>
    <w:rsid w:val="0098687D"/>
    <w:rsid w:val="009949D2"/>
    <w:rsid w:val="009B3088"/>
    <w:rsid w:val="009B42FA"/>
    <w:rsid w:val="009B445E"/>
    <w:rsid w:val="009B60F2"/>
    <w:rsid w:val="009C44A8"/>
    <w:rsid w:val="009C7147"/>
    <w:rsid w:val="009D0ADE"/>
    <w:rsid w:val="009D187D"/>
    <w:rsid w:val="009D6EE8"/>
    <w:rsid w:val="009D78D8"/>
    <w:rsid w:val="009D7FB3"/>
    <w:rsid w:val="009E274D"/>
    <w:rsid w:val="009E4A3D"/>
    <w:rsid w:val="009E6BA1"/>
    <w:rsid w:val="009F3CA4"/>
    <w:rsid w:val="00A13E0B"/>
    <w:rsid w:val="00A16B92"/>
    <w:rsid w:val="00A20EDD"/>
    <w:rsid w:val="00A25094"/>
    <w:rsid w:val="00A260F2"/>
    <w:rsid w:val="00A33257"/>
    <w:rsid w:val="00A37230"/>
    <w:rsid w:val="00A44E71"/>
    <w:rsid w:val="00A45EEA"/>
    <w:rsid w:val="00A55E67"/>
    <w:rsid w:val="00A64192"/>
    <w:rsid w:val="00A67C21"/>
    <w:rsid w:val="00A7093C"/>
    <w:rsid w:val="00A744B6"/>
    <w:rsid w:val="00A8108B"/>
    <w:rsid w:val="00A842E8"/>
    <w:rsid w:val="00A85433"/>
    <w:rsid w:val="00A8788B"/>
    <w:rsid w:val="00AA66BE"/>
    <w:rsid w:val="00AB238F"/>
    <w:rsid w:val="00AC18F0"/>
    <w:rsid w:val="00AD18B9"/>
    <w:rsid w:val="00AD2382"/>
    <w:rsid w:val="00AE6B4D"/>
    <w:rsid w:val="00AF3868"/>
    <w:rsid w:val="00AF7CDA"/>
    <w:rsid w:val="00B009C5"/>
    <w:rsid w:val="00B022B0"/>
    <w:rsid w:val="00B125F3"/>
    <w:rsid w:val="00B13BDE"/>
    <w:rsid w:val="00B1774B"/>
    <w:rsid w:val="00B22ACA"/>
    <w:rsid w:val="00B326F4"/>
    <w:rsid w:val="00B32E08"/>
    <w:rsid w:val="00B32EF9"/>
    <w:rsid w:val="00B361B4"/>
    <w:rsid w:val="00B41158"/>
    <w:rsid w:val="00B42525"/>
    <w:rsid w:val="00B52717"/>
    <w:rsid w:val="00B54ECE"/>
    <w:rsid w:val="00B5689B"/>
    <w:rsid w:val="00B632A1"/>
    <w:rsid w:val="00B641E0"/>
    <w:rsid w:val="00B71761"/>
    <w:rsid w:val="00B73849"/>
    <w:rsid w:val="00B75A99"/>
    <w:rsid w:val="00B8250F"/>
    <w:rsid w:val="00B82C8C"/>
    <w:rsid w:val="00B83A90"/>
    <w:rsid w:val="00B850A7"/>
    <w:rsid w:val="00B85D5C"/>
    <w:rsid w:val="00BA03A2"/>
    <w:rsid w:val="00BA05E9"/>
    <w:rsid w:val="00BA3B73"/>
    <w:rsid w:val="00BA4492"/>
    <w:rsid w:val="00BC14E9"/>
    <w:rsid w:val="00BC79CA"/>
    <w:rsid w:val="00BD43FF"/>
    <w:rsid w:val="00BD66F6"/>
    <w:rsid w:val="00BE31A7"/>
    <w:rsid w:val="00BE67AF"/>
    <w:rsid w:val="00BF1486"/>
    <w:rsid w:val="00BF51B4"/>
    <w:rsid w:val="00C032A8"/>
    <w:rsid w:val="00C06333"/>
    <w:rsid w:val="00C063EC"/>
    <w:rsid w:val="00C11A95"/>
    <w:rsid w:val="00C16FE7"/>
    <w:rsid w:val="00C20BF2"/>
    <w:rsid w:val="00C22BAB"/>
    <w:rsid w:val="00C24686"/>
    <w:rsid w:val="00C25092"/>
    <w:rsid w:val="00C34F67"/>
    <w:rsid w:val="00C4096E"/>
    <w:rsid w:val="00C43B2A"/>
    <w:rsid w:val="00C44F40"/>
    <w:rsid w:val="00C450C3"/>
    <w:rsid w:val="00C467DF"/>
    <w:rsid w:val="00C650BB"/>
    <w:rsid w:val="00C7378E"/>
    <w:rsid w:val="00C77DDE"/>
    <w:rsid w:val="00C862E1"/>
    <w:rsid w:val="00C87096"/>
    <w:rsid w:val="00C94863"/>
    <w:rsid w:val="00C94DAA"/>
    <w:rsid w:val="00C958C9"/>
    <w:rsid w:val="00CA3FFA"/>
    <w:rsid w:val="00CA5D54"/>
    <w:rsid w:val="00CA6B69"/>
    <w:rsid w:val="00CB33A1"/>
    <w:rsid w:val="00CC2041"/>
    <w:rsid w:val="00CD7DA1"/>
    <w:rsid w:val="00CE045D"/>
    <w:rsid w:val="00CE48EF"/>
    <w:rsid w:val="00D06CE2"/>
    <w:rsid w:val="00D1654E"/>
    <w:rsid w:val="00D212DF"/>
    <w:rsid w:val="00D23DB0"/>
    <w:rsid w:val="00D26213"/>
    <w:rsid w:val="00D308DD"/>
    <w:rsid w:val="00D33395"/>
    <w:rsid w:val="00D40163"/>
    <w:rsid w:val="00D41364"/>
    <w:rsid w:val="00D41CAB"/>
    <w:rsid w:val="00D423AC"/>
    <w:rsid w:val="00D433B4"/>
    <w:rsid w:val="00D4649D"/>
    <w:rsid w:val="00D532E6"/>
    <w:rsid w:val="00D57EA0"/>
    <w:rsid w:val="00D6568A"/>
    <w:rsid w:val="00D71406"/>
    <w:rsid w:val="00D80C7F"/>
    <w:rsid w:val="00D80FC7"/>
    <w:rsid w:val="00D81D92"/>
    <w:rsid w:val="00D859D5"/>
    <w:rsid w:val="00DA24F8"/>
    <w:rsid w:val="00DA6919"/>
    <w:rsid w:val="00DA7131"/>
    <w:rsid w:val="00DA7AFB"/>
    <w:rsid w:val="00DB51A6"/>
    <w:rsid w:val="00DC2275"/>
    <w:rsid w:val="00DD0FDF"/>
    <w:rsid w:val="00DE16A1"/>
    <w:rsid w:val="00DE7101"/>
    <w:rsid w:val="00DF1865"/>
    <w:rsid w:val="00DF4529"/>
    <w:rsid w:val="00DF4EEC"/>
    <w:rsid w:val="00DF61CD"/>
    <w:rsid w:val="00E03F7D"/>
    <w:rsid w:val="00E12B08"/>
    <w:rsid w:val="00E13D49"/>
    <w:rsid w:val="00E16414"/>
    <w:rsid w:val="00E177D6"/>
    <w:rsid w:val="00E2195F"/>
    <w:rsid w:val="00E24D62"/>
    <w:rsid w:val="00E33C26"/>
    <w:rsid w:val="00E44D40"/>
    <w:rsid w:val="00E508B6"/>
    <w:rsid w:val="00E517E4"/>
    <w:rsid w:val="00E5482B"/>
    <w:rsid w:val="00E569EB"/>
    <w:rsid w:val="00E56EEC"/>
    <w:rsid w:val="00E621F5"/>
    <w:rsid w:val="00E67ED0"/>
    <w:rsid w:val="00E8326C"/>
    <w:rsid w:val="00E839B8"/>
    <w:rsid w:val="00E944CA"/>
    <w:rsid w:val="00EB1124"/>
    <w:rsid w:val="00EB329A"/>
    <w:rsid w:val="00EC1DF9"/>
    <w:rsid w:val="00EC1E54"/>
    <w:rsid w:val="00EC4503"/>
    <w:rsid w:val="00EC7661"/>
    <w:rsid w:val="00ED3A2B"/>
    <w:rsid w:val="00ED47AB"/>
    <w:rsid w:val="00ED73B0"/>
    <w:rsid w:val="00EF6B4A"/>
    <w:rsid w:val="00F02FFA"/>
    <w:rsid w:val="00F14EAF"/>
    <w:rsid w:val="00F24450"/>
    <w:rsid w:val="00F30AB5"/>
    <w:rsid w:val="00F31307"/>
    <w:rsid w:val="00F3659E"/>
    <w:rsid w:val="00F51281"/>
    <w:rsid w:val="00F6185E"/>
    <w:rsid w:val="00F66FCB"/>
    <w:rsid w:val="00F7403D"/>
    <w:rsid w:val="00F75BA4"/>
    <w:rsid w:val="00F76A4E"/>
    <w:rsid w:val="00F86237"/>
    <w:rsid w:val="00F900CD"/>
    <w:rsid w:val="00F90C1D"/>
    <w:rsid w:val="00F95544"/>
    <w:rsid w:val="00FB42E2"/>
    <w:rsid w:val="00FD033A"/>
    <w:rsid w:val="00FD5B01"/>
    <w:rsid w:val="00FD611C"/>
    <w:rsid w:val="00FE6C67"/>
    <w:rsid w:val="00FF1547"/>
    <w:rsid w:val="00FF1F2B"/>
    <w:rsid w:val="00FF422E"/>
    <w:rsid w:val="00FF62D3"/>
    <w:rsid w:val="00FF7A6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2D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4115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5ACE"/>
    <w:rPr>
      <w:rFonts w:cs="Times New Roman"/>
      <w:sz w:val="2"/>
    </w:rPr>
  </w:style>
  <w:style w:type="character" w:styleId="CommentReference">
    <w:name w:val="annotation reference"/>
    <w:basedOn w:val="DefaultParagraphFont"/>
    <w:uiPriority w:val="99"/>
    <w:semiHidden/>
    <w:rsid w:val="00B41158"/>
    <w:rPr>
      <w:rFonts w:cs="Times New Roman"/>
      <w:sz w:val="16"/>
      <w:szCs w:val="16"/>
    </w:rPr>
  </w:style>
  <w:style w:type="paragraph" w:styleId="CommentText">
    <w:name w:val="annotation text"/>
    <w:basedOn w:val="Normal"/>
    <w:link w:val="CommentTextChar"/>
    <w:uiPriority w:val="99"/>
    <w:semiHidden/>
    <w:rsid w:val="00B41158"/>
    <w:rPr>
      <w:sz w:val="20"/>
      <w:szCs w:val="20"/>
    </w:rPr>
  </w:style>
  <w:style w:type="character" w:customStyle="1" w:styleId="CommentTextChar">
    <w:name w:val="Comment Text Char"/>
    <w:basedOn w:val="DefaultParagraphFont"/>
    <w:link w:val="CommentText"/>
    <w:uiPriority w:val="99"/>
    <w:semiHidden/>
    <w:locked/>
    <w:rsid w:val="00630504"/>
    <w:rPr>
      <w:rFonts w:cs="Times New Roman"/>
    </w:rPr>
  </w:style>
  <w:style w:type="paragraph" w:styleId="CommentSubject">
    <w:name w:val="annotation subject"/>
    <w:basedOn w:val="CommentText"/>
    <w:next w:val="CommentText"/>
    <w:link w:val="CommentSubjectChar"/>
    <w:uiPriority w:val="99"/>
    <w:semiHidden/>
    <w:rsid w:val="00B41158"/>
    <w:rPr>
      <w:b/>
      <w:bCs/>
    </w:rPr>
  </w:style>
  <w:style w:type="character" w:customStyle="1" w:styleId="CommentSubjectChar">
    <w:name w:val="Comment Subject Char"/>
    <w:basedOn w:val="CommentTextChar"/>
    <w:link w:val="CommentSubject"/>
    <w:uiPriority w:val="99"/>
    <w:semiHidden/>
    <w:locked/>
    <w:rsid w:val="00235ACE"/>
    <w:rPr>
      <w:b/>
      <w:bCs/>
      <w:sz w:val="20"/>
      <w:szCs w:val="20"/>
    </w:rPr>
  </w:style>
  <w:style w:type="table" w:styleId="TableGrid">
    <w:name w:val="Table Grid"/>
    <w:basedOn w:val="TableNormal"/>
    <w:uiPriority w:val="99"/>
    <w:rsid w:val="009E274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DE7101"/>
    <w:rPr>
      <w:sz w:val="20"/>
      <w:szCs w:val="20"/>
    </w:rPr>
  </w:style>
  <w:style w:type="character" w:customStyle="1" w:styleId="FootnoteTextChar">
    <w:name w:val="Footnote Text Char"/>
    <w:basedOn w:val="DefaultParagraphFont"/>
    <w:link w:val="FootnoteText"/>
    <w:uiPriority w:val="99"/>
    <w:semiHidden/>
    <w:locked/>
    <w:rsid w:val="00235ACE"/>
    <w:rPr>
      <w:rFonts w:cs="Times New Roman"/>
      <w:sz w:val="20"/>
      <w:szCs w:val="20"/>
    </w:rPr>
  </w:style>
  <w:style w:type="character" w:styleId="FootnoteReference">
    <w:name w:val="footnote reference"/>
    <w:basedOn w:val="DefaultParagraphFont"/>
    <w:uiPriority w:val="99"/>
    <w:semiHidden/>
    <w:rsid w:val="00DE7101"/>
    <w:rPr>
      <w:rFonts w:cs="Times New Roman"/>
      <w:vertAlign w:val="superscript"/>
    </w:rPr>
  </w:style>
  <w:style w:type="character" w:styleId="Hyperlink">
    <w:name w:val="Hyperlink"/>
    <w:basedOn w:val="DefaultParagraphFont"/>
    <w:uiPriority w:val="99"/>
    <w:rsid w:val="00E67ED0"/>
    <w:rPr>
      <w:rFonts w:cs="Times New Roman"/>
      <w:color w:val="0000FF"/>
      <w:u w:val="single"/>
    </w:rPr>
  </w:style>
  <w:style w:type="paragraph" w:styleId="HTMLPreformatted">
    <w:name w:val="HTML Preformatted"/>
    <w:basedOn w:val="Normal"/>
    <w:link w:val="HTMLPreformattedChar"/>
    <w:uiPriority w:val="99"/>
    <w:semiHidden/>
    <w:rsid w:val="008A744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8A744D"/>
    <w:rPr>
      <w:rFonts w:ascii="Courier New" w:hAnsi="Courier New" w:cs="Courier New"/>
      <w:sz w:val="20"/>
      <w:szCs w:val="20"/>
    </w:rPr>
  </w:style>
  <w:style w:type="paragraph" w:styleId="Revision">
    <w:name w:val="Revision"/>
    <w:hidden/>
    <w:uiPriority w:val="99"/>
    <w:semiHidden/>
    <w:rsid w:val="0007356C"/>
    <w:rPr>
      <w:sz w:val="24"/>
      <w:szCs w:val="24"/>
    </w:rPr>
  </w:style>
  <w:style w:type="paragraph" w:styleId="Header">
    <w:name w:val="header"/>
    <w:basedOn w:val="Normal"/>
    <w:link w:val="HeaderChar"/>
    <w:uiPriority w:val="99"/>
    <w:semiHidden/>
    <w:rsid w:val="0007356C"/>
    <w:pPr>
      <w:tabs>
        <w:tab w:val="center" w:pos="4680"/>
        <w:tab w:val="right" w:pos="9360"/>
      </w:tabs>
    </w:pPr>
  </w:style>
  <w:style w:type="character" w:customStyle="1" w:styleId="HeaderChar">
    <w:name w:val="Header Char"/>
    <w:basedOn w:val="DefaultParagraphFont"/>
    <w:link w:val="Header"/>
    <w:uiPriority w:val="99"/>
    <w:semiHidden/>
    <w:locked/>
    <w:rsid w:val="0007356C"/>
    <w:rPr>
      <w:rFonts w:cs="Times New Roman"/>
      <w:sz w:val="24"/>
      <w:szCs w:val="24"/>
    </w:rPr>
  </w:style>
  <w:style w:type="paragraph" w:styleId="Footer">
    <w:name w:val="footer"/>
    <w:basedOn w:val="Normal"/>
    <w:link w:val="FooterChar"/>
    <w:uiPriority w:val="99"/>
    <w:semiHidden/>
    <w:rsid w:val="0007356C"/>
    <w:pPr>
      <w:tabs>
        <w:tab w:val="center" w:pos="4680"/>
        <w:tab w:val="right" w:pos="9360"/>
      </w:tabs>
    </w:pPr>
  </w:style>
  <w:style w:type="character" w:customStyle="1" w:styleId="FooterChar">
    <w:name w:val="Footer Char"/>
    <w:basedOn w:val="DefaultParagraphFont"/>
    <w:link w:val="Footer"/>
    <w:uiPriority w:val="99"/>
    <w:semiHidden/>
    <w:locked/>
    <w:rsid w:val="0007356C"/>
    <w:rPr>
      <w:rFonts w:cs="Times New Roman"/>
      <w:sz w:val="24"/>
      <w:szCs w:val="24"/>
    </w:rPr>
  </w:style>
  <w:style w:type="character" w:styleId="PageNumber">
    <w:name w:val="page number"/>
    <w:basedOn w:val="DefaultParagraphFont"/>
    <w:uiPriority w:val="99"/>
    <w:rsid w:val="00E12B08"/>
    <w:rPr>
      <w:rFonts w:cs="Times New Roman"/>
    </w:rPr>
  </w:style>
</w:styles>
</file>

<file path=word/webSettings.xml><?xml version="1.0" encoding="utf-8"?>
<w:webSettings xmlns:r="http://schemas.openxmlformats.org/officeDocument/2006/relationships" xmlns:w="http://schemas.openxmlformats.org/wordprocessingml/2006/main">
  <w:divs>
    <w:div w:id="968128466">
      <w:marLeft w:val="0"/>
      <w:marRight w:val="0"/>
      <w:marTop w:val="0"/>
      <w:marBottom w:val="0"/>
      <w:divBdr>
        <w:top w:val="none" w:sz="0" w:space="0" w:color="auto"/>
        <w:left w:val="none" w:sz="0" w:space="0" w:color="auto"/>
        <w:bottom w:val="none" w:sz="0" w:space="0" w:color="auto"/>
        <w:right w:val="none" w:sz="0" w:space="0" w:color="auto"/>
      </w:divBdr>
    </w:div>
    <w:div w:id="968128467">
      <w:marLeft w:val="0"/>
      <w:marRight w:val="0"/>
      <w:marTop w:val="0"/>
      <w:marBottom w:val="0"/>
      <w:divBdr>
        <w:top w:val="none" w:sz="0" w:space="0" w:color="auto"/>
        <w:left w:val="none" w:sz="0" w:space="0" w:color="auto"/>
        <w:bottom w:val="none" w:sz="0" w:space="0" w:color="auto"/>
        <w:right w:val="none" w:sz="0" w:space="0" w:color="auto"/>
      </w:divBdr>
    </w:div>
    <w:div w:id="968128468">
      <w:marLeft w:val="0"/>
      <w:marRight w:val="0"/>
      <w:marTop w:val="0"/>
      <w:marBottom w:val="0"/>
      <w:divBdr>
        <w:top w:val="none" w:sz="0" w:space="0" w:color="auto"/>
        <w:left w:val="none" w:sz="0" w:space="0" w:color="auto"/>
        <w:bottom w:val="none" w:sz="0" w:space="0" w:color="auto"/>
        <w:right w:val="none" w:sz="0" w:space="0" w:color="auto"/>
      </w:divBdr>
    </w:div>
    <w:div w:id="968128469">
      <w:marLeft w:val="0"/>
      <w:marRight w:val="0"/>
      <w:marTop w:val="0"/>
      <w:marBottom w:val="0"/>
      <w:divBdr>
        <w:top w:val="none" w:sz="0" w:space="0" w:color="auto"/>
        <w:left w:val="none" w:sz="0" w:space="0" w:color="auto"/>
        <w:bottom w:val="none" w:sz="0" w:space="0" w:color="auto"/>
        <w:right w:val="none" w:sz="0" w:space="0" w:color="auto"/>
      </w:divBdr>
    </w:div>
    <w:div w:id="968128470">
      <w:marLeft w:val="0"/>
      <w:marRight w:val="0"/>
      <w:marTop w:val="0"/>
      <w:marBottom w:val="0"/>
      <w:divBdr>
        <w:top w:val="none" w:sz="0" w:space="0" w:color="auto"/>
        <w:left w:val="none" w:sz="0" w:space="0" w:color="auto"/>
        <w:bottom w:val="none" w:sz="0" w:space="0" w:color="auto"/>
        <w:right w:val="none" w:sz="0" w:space="0" w:color="auto"/>
      </w:divBdr>
    </w:div>
    <w:div w:id="968128471">
      <w:marLeft w:val="0"/>
      <w:marRight w:val="0"/>
      <w:marTop w:val="0"/>
      <w:marBottom w:val="0"/>
      <w:divBdr>
        <w:top w:val="none" w:sz="0" w:space="0" w:color="auto"/>
        <w:left w:val="none" w:sz="0" w:space="0" w:color="auto"/>
        <w:bottom w:val="none" w:sz="0" w:space="0" w:color="auto"/>
        <w:right w:val="none" w:sz="0" w:space="0" w:color="auto"/>
      </w:divBdr>
    </w:div>
    <w:div w:id="968128472">
      <w:marLeft w:val="0"/>
      <w:marRight w:val="0"/>
      <w:marTop w:val="0"/>
      <w:marBottom w:val="0"/>
      <w:divBdr>
        <w:top w:val="none" w:sz="0" w:space="0" w:color="auto"/>
        <w:left w:val="none" w:sz="0" w:space="0" w:color="auto"/>
        <w:bottom w:val="none" w:sz="0" w:space="0" w:color="auto"/>
        <w:right w:val="none" w:sz="0" w:space="0" w:color="auto"/>
      </w:divBdr>
    </w:div>
    <w:div w:id="968128473">
      <w:marLeft w:val="0"/>
      <w:marRight w:val="0"/>
      <w:marTop w:val="0"/>
      <w:marBottom w:val="0"/>
      <w:divBdr>
        <w:top w:val="none" w:sz="0" w:space="0" w:color="auto"/>
        <w:left w:val="none" w:sz="0" w:space="0" w:color="auto"/>
        <w:bottom w:val="none" w:sz="0" w:space="0" w:color="auto"/>
        <w:right w:val="none" w:sz="0" w:space="0" w:color="auto"/>
      </w:divBdr>
    </w:div>
    <w:div w:id="968128474">
      <w:marLeft w:val="0"/>
      <w:marRight w:val="0"/>
      <w:marTop w:val="0"/>
      <w:marBottom w:val="0"/>
      <w:divBdr>
        <w:top w:val="none" w:sz="0" w:space="0" w:color="auto"/>
        <w:left w:val="none" w:sz="0" w:space="0" w:color="auto"/>
        <w:bottom w:val="none" w:sz="0" w:space="0" w:color="auto"/>
        <w:right w:val="none" w:sz="0" w:space="0" w:color="auto"/>
      </w:divBdr>
    </w:div>
    <w:div w:id="9681284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bls.gov/cps/cpsaat01.pdf" TargetMode="External"/><Relationship Id="rId2" Type="http://schemas.openxmlformats.org/officeDocument/2006/relationships/hyperlink" Target="http://www.bls.gov/opub/gp/pdf/gp11full.pdf" TargetMode="External"/><Relationship Id="rId1" Type="http://schemas.openxmlformats.org/officeDocument/2006/relationships/hyperlink" Target="http://www.cs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2627</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CSTE Survey of State Health Agencies regarding Access to state Workers’ Compensation Data</vt:lpstr>
    </vt:vector>
  </TitlesOfParts>
  <Company>DPH</Company>
  <LinksUpToDate>false</LinksUpToDate>
  <CharactersWithSpaces>16492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CSTE Survey of State Health Agencies regarding Access to state Workers’ Compensation Data</dc:title>
  <dc:subject/>
  <dc:creator>LDavis</dc:creator>
  <cp:keywords/>
  <dc:description/>
  <cp:lastModifiedBy>esimms</cp:lastModifiedBy>
  <cp:revision>5</cp:revision>
  <dcterms:created xsi:type="dcterms:W3CDTF">2012-11-28T13:34:00Z</dcterms:created>
  <dcterms:modified xsi:type="dcterms:W3CDTF">2012-11-28T14:00:00Z</dcterms:modified>
</cp:coreProperties>
</file>